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CF647" w14:textId="77777777" w:rsidR="003633CB" w:rsidRPr="004D4C57" w:rsidRDefault="003633CB" w:rsidP="003633CB">
      <w:pPr>
        <w:spacing w:line="480" w:lineRule="auto"/>
        <w:jc w:val="center"/>
        <w:rPr>
          <w:color w:val="000000" w:themeColor="text1"/>
        </w:rPr>
      </w:pPr>
      <w:bookmarkStart w:id="0" w:name="_GoBack"/>
      <w:bookmarkEnd w:id="0"/>
    </w:p>
    <w:p w14:paraId="19603E59" w14:textId="482FB866" w:rsidR="00625D2E" w:rsidRPr="004D4C57" w:rsidRDefault="00625D2E" w:rsidP="003633CB">
      <w:pPr>
        <w:spacing w:line="480" w:lineRule="auto"/>
        <w:rPr>
          <w:b/>
          <w:color w:val="000000" w:themeColor="text1"/>
        </w:rPr>
      </w:pPr>
    </w:p>
    <w:p w14:paraId="69C1F8DE" w14:textId="47A14582" w:rsidR="0027631A" w:rsidRPr="004D4C57" w:rsidRDefault="0027631A" w:rsidP="0027631A">
      <w:pPr>
        <w:spacing w:line="480" w:lineRule="auto"/>
        <w:jc w:val="center"/>
        <w:rPr>
          <w:bCs/>
          <w:color w:val="000000" w:themeColor="text1"/>
        </w:rPr>
      </w:pPr>
      <w:r w:rsidRPr="004D4C57">
        <w:rPr>
          <w:bCs/>
          <w:color w:val="000000" w:themeColor="text1"/>
        </w:rPr>
        <w:t>Risk of Cognitive Declines With Retirement: Who Declines and Why?</w:t>
      </w:r>
    </w:p>
    <w:p w14:paraId="6CBD824E" w14:textId="77777777" w:rsidR="00347151" w:rsidRPr="004D4C57" w:rsidRDefault="00347151" w:rsidP="003633CB">
      <w:pPr>
        <w:spacing w:line="480" w:lineRule="auto"/>
        <w:jc w:val="center"/>
        <w:rPr>
          <w:color w:val="000000" w:themeColor="text1"/>
          <w:szCs w:val="24"/>
        </w:rPr>
      </w:pPr>
    </w:p>
    <w:p w14:paraId="1C4495BB" w14:textId="1F647A88" w:rsidR="003633CB" w:rsidRPr="004D4C57" w:rsidRDefault="003633CB" w:rsidP="003633CB">
      <w:pPr>
        <w:spacing w:line="480" w:lineRule="auto"/>
        <w:jc w:val="center"/>
        <w:rPr>
          <w:color w:val="000000" w:themeColor="text1"/>
          <w:szCs w:val="24"/>
        </w:rPr>
      </w:pPr>
      <w:r w:rsidRPr="004D4C57">
        <w:rPr>
          <w:color w:val="000000" w:themeColor="text1"/>
          <w:szCs w:val="24"/>
        </w:rPr>
        <w:t xml:space="preserve">Jeremy M. Hamm </w:t>
      </w:r>
    </w:p>
    <w:p w14:paraId="0E30DFA8" w14:textId="0F1474E9" w:rsidR="003633CB" w:rsidRPr="004D4C57" w:rsidRDefault="001C0092" w:rsidP="003633CB">
      <w:pPr>
        <w:spacing w:line="480" w:lineRule="auto"/>
        <w:jc w:val="center"/>
        <w:rPr>
          <w:color w:val="000000" w:themeColor="text1"/>
          <w:szCs w:val="24"/>
        </w:rPr>
      </w:pPr>
      <w:r w:rsidRPr="004D4C57">
        <w:rPr>
          <w:color w:val="000000" w:themeColor="text1"/>
          <w:szCs w:val="24"/>
        </w:rPr>
        <w:t>North Dakota State University</w:t>
      </w:r>
    </w:p>
    <w:p w14:paraId="0400F6C4" w14:textId="77777777" w:rsidR="003633CB" w:rsidRPr="004D4C57" w:rsidRDefault="003633CB" w:rsidP="003633CB">
      <w:pPr>
        <w:spacing w:line="480" w:lineRule="auto"/>
        <w:jc w:val="center"/>
        <w:rPr>
          <w:color w:val="000000" w:themeColor="text1"/>
          <w:szCs w:val="24"/>
        </w:rPr>
      </w:pPr>
    </w:p>
    <w:p w14:paraId="340782AA" w14:textId="77777777" w:rsidR="003633CB" w:rsidRPr="004D4C57" w:rsidRDefault="003633CB" w:rsidP="003633CB">
      <w:pPr>
        <w:spacing w:line="480" w:lineRule="auto"/>
        <w:jc w:val="center"/>
        <w:rPr>
          <w:color w:val="000000" w:themeColor="text1"/>
          <w:szCs w:val="24"/>
        </w:rPr>
      </w:pPr>
      <w:r w:rsidRPr="004D4C57">
        <w:rPr>
          <w:color w:val="000000" w:themeColor="text1"/>
          <w:szCs w:val="24"/>
        </w:rPr>
        <w:t>Jutta Heckhausen</w:t>
      </w:r>
    </w:p>
    <w:p w14:paraId="1F2C75D9" w14:textId="77777777" w:rsidR="003633CB" w:rsidRPr="004D4C57" w:rsidRDefault="003633CB" w:rsidP="003633CB">
      <w:pPr>
        <w:spacing w:line="480" w:lineRule="auto"/>
        <w:jc w:val="center"/>
        <w:rPr>
          <w:color w:val="000000" w:themeColor="text1"/>
          <w:szCs w:val="24"/>
        </w:rPr>
      </w:pPr>
      <w:r w:rsidRPr="004D4C57">
        <w:rPr>
          <w:color w:val="000000" w:themeColor="text1"/>
          <w:szCs w:val="24"/>
        </w:rPr>
        <w:t>University of California, Irvine</w:t>
      </w:r>
    </w:p>
    <w:p w14:paraId="07B1C141" w14:textId="77777777" w:rsidR="003633CB" w:rsidRPr="004D4C57" w:rsidRDefault="003633CB" w:rsidP="003633CB">
      <w:pPr>
        <w:spacing w:line="480" w:lineRule="auto"/>
        <w:jc w:val="center"/>
        <w:rPr>
          <w:color w:val="000000" w:themeColor="text1"/>
          <w:szCs w:val="24"/>
        </w:rPr>
      </w:pPr>
    </w:p>
    <w:p w14:paraId="494F8FAA" w14:textId="77777777" w:rsidR="003633CB" w:rsidRPr="004D4C57" w:rsidRDefault="003633CB" w:rsidP="003633CB">
      <w:pPr>
        <w:spacing w:line="480" w:lineRule="auto"/>
        <w:jc w:val="center"/>
        <w:rPr>
          <w:color w:val="000000" w:themeColor="text1"/>
          <w:szCs w:val="24"/>
        </w:rPr>
      </w:pPr>
      <w:r w:rsidRPr="004D4C57">
        <w:rPr>
          <w:color w:val="000000" w:themeColor="text1"/>
          <w:szCs w:val="24"/>
        </w:rPr>
        <w:t>Jacob Shane</w:t>
      </w:r>
    </w:p>
    <w:p w14:paraId="0C473751" w14:textId="77777777" w:rsidR="003633CB" w:rsidRPr="004D4C57" w:rsidRDefault="003633CB" w:rsidP="003633CB">
      <w:pPr>
        <w:spacing w:line="480" w:lineRule="auto"/>
        <w:jc w:val="center"/>
        <w:rPr>
          <w:color w:val="000000" w:themeColor="text1"/>
          <w:szCs w:val="24"/>
        </w:rPr>
      </w:pPr>
      <w:r w:rsidRPr="004D4C57">
        <w:rPr>
          <w:color w:val="000000" w:themeColor="text1"/>
          <w:szCs w:val="24"/>
        </w:rPr>
        <w:t>Brooklyn College, The City University of New York</w:t>
      </w:r>
    </w:p>
    <w:p w14:paraId="2321C7A3" w14:textId="77777777" w:rsidR="003633CB" w:rsidRPr="004D4C57" w:rsidRDefault="003633CB" w:rsidP="003633CB">
      <w:pPr>
        <w:spacing w:line="480" w:lineRule="auto"/>
        <w:rPr>
          <w:color w:val="000000" w:themeColor="text1"/>
          <w:szCs w:val="24"/>
        </w:rPr>
      </w:pPr>
    </w:p>
    <w:p w14:paraId="61F48E4E" w14:textId="77777777" w:rsidR="003633CB" w:rsidRPr="004D4C57" w:rsidRDefault="003633CB" w:rsidP="003633CB">
      <w:pPr>
        <w:spacing w:line="480" w:lineRule="auto"/>
        <w:jc w:val="center"/>
        <w:rPr>
          <w:color w:val="000000" w:themeColor="text1"/>
          <w:szCs w:val="24"/>
        </w:rPr>
      </w:pPr>
      <w:r w:rsidRPr="004D4C57">
        <w:rPr>
          <w:color w:val="000000" w:themeColor="text1"/>
          <w:szCs w:val="24"/>
        </w:rPr>
        <w:t>Margie E. Lachman</w:t>
      </w:r>
    </w:p>
    <w:p w14:paraId="7E043B38" w14:textId="77777777" w:rsidR="003633CB" w:rsidRPr="004D4C57" w:rsidRDefault="003633CB" w:rsidP="003633CB">
      <w:pPr>
        <w:spacing w:line="480" w:lineRule="auto"/>
        <w:jc w:val="center"/>
        <w:rPr>
          <w:color w:val="000000" w:themeColor="text1"/>
          <w:szCs w:val="24"/>
        </w:rPr>
      </w:pPr>
      <w:r w:rsidRPr="004D4C57">
        <w:rPr>
          <w:color w:val="000000" w:themeColor="text1"/>
          <w:szCs w:val="24"/>
        </w:rPr>
        <w:t>Brandeis University</w:t>
      </w:r>
    </w:p>
    <w:p w14:paraId="0360E156" w14:textId="77777777" w:rsidR="003633CB" w:rsidRPr="004D4C57" w:rsidRDefault="003633CB" w:rsidP="003633CB">
      <w:pPr>
        <w:spacing w:line="480" w:lineRule="auto"/>
        <w:jc w:val="center"/>
        <w:rPr>
          <w:color w:val="000000" w:themeColor="text1"/>
          <w:szCs w:val="24"/>
        </w:rPr>
      </w:pPr>
    </w:p>
    <w:p w14:paraId="4D1BFD8C" w14:textId="77777777" w:rsidR="003633CB" w:rsidRPr="004D4C57" w:rsidRDefault="003633CB" w:rsidP="003633CB">
      <w:pPr>
        <w:pStyle w:val="NoSpacing"/>
        <w:widowControl w:val="0"/>
        <w:spacing w:line="480" w:lineRule="auto"/>
        <w:jc w:val="center"/>
        <w:outlineLvl w:val="0"/>
        <w:rPr>
          <w:color w:val="000000" w:themeColor="text1"/>
        </w:rPr>
      </w:pPr>
      <w:r w:rsidRPr="004D4C57">
        <w:rPr>
          <w:color w:val="000000" w:themeColor="text1"/>
        </w:rPr>
        <w:t>Author Note</w:t>
      </w:r>
    </w:p>
    <w:p w14:paraId="0070C4D7" w14:textId="127D27BD" w:rsidR="004544D2" w:rsidRPr="004D4C57" w:rsidRDefault="004544D2" w:rsidP="004544D2">
      <w:pPr>
        <w:spacing w:line="480" w:lineRule="auto"/>
        <w:ind w:firstLine="720"/>
        <w:rPr>
          <w:color w:val="000000" w:themeColor="text1"/>
          <w:szCs w:val="24"/>
        </w:rPr>
      </w:pPr>
      <w:r w:rsidRPr="004D4C57">
        <w:rPr>
          <w:color w:val="000000" w:themeColor="text1"/>
          <w:szCs w:val="24"/>
        </w:rPr>
        <w:t xml:space="preserve">Jeremy M. Hamm, Department of Psychology, </w:t>
      </w:r>
      <w:r w:rsidR="001C0092" w:rsidRPr="004D4C57">
        <w:rPr>
          <w:color w:val="000000" w:themeColor="text1"/>
          <w:szCs w:val="24"/>
        </w:rPr>
        <w:t>North Dakota State University</w:t>
      </w:r>
      <w:r w:rsidRPr="004D4C57">
        <w:rPr>
          <w:color w:val="000000" w:themeColor="text1"/>
          <w:szCs w:val="24"/>
        </w:rPr>
        <w:t xml:space="preserve">; Jutta Heckhausen, </w:t>
      </w:r>
      <w:r w:rsidRPr="004D4C57">
        <w:rPr>
          <w:color w:val="000000" w:themeColor="text1"/>
        </w:rPr>
        <w:t xml:space="preserve">Department of Psychological Science, </w:t>
      </w:r>
      <w:r w:rsidRPr="004D4C57">
        <w:rPr>
          <w:color w:val="000000" w:themeColor="text1"/>
          <w:szCs w:val="24"/>
        </w:rPr>
        <w:t>University of California at Irvine</w:t>
      </w:r>
      <w:r w:rsidRPr="004D4C57">
        <w:rPr>
          <w:color w:val="000000" w:themeColor="text1"/>
        </w:rPr>
        <w:t xml:space="preserve">; Jacob Shane, Department of Psychology, Brooklyn College, The City University of New York; </w:t>
      </w:r>
      <w:r w:rsidRPr="004D4C57">
        <w:rPr>
          <w:color w:val="000000" w:themeColor="text1"/>
          <w:szCs w:val="24"/>
        </w:rPr>
        <w:t>Margie E. Lachman, Department of Psychology, Brandeis University.</w:t>
      </w:r>
    </w:p>
    <w:p w14:paraId="013C10E6" w14:textId="0D4D8676" w:rsidR="004544D2" w:rsidRPr="004D4C57" w:rsidRDefault="004544D2" w:rsidP="004544D2">
      <w:pPr>
        <w:spacing w:line="480" w:lineRule="auto"/>
        <w:ind w:firstLine="720"/>
        <w:rPr>
          <w:color w:val="000000" w:themeColor="text1"/>
        </w:rPr>
      </w:pPr>
      <w:r w:rsidRPr="004D4C57">
        <w:rPr>
          <w:color w:val="000000" w:themeColor="text1"/>
        </w:rPr>
        <w:t xml:space="preserve">Correspondence should be addressed to: Jeremy M. Hamm, Department of Psychology, </w:t>
      </w:r>
      <w:r w:rsidR="001C0092" w:rsidRPr="004D4C57">
        <w:rPr>
          <w:color w:val="000000" w:themeColor="text1"/>
        </w:rPr>
        <w:t>North Dakota State University, Fargo, ND, 5810</w:t>
      </w:r>
      <w:r w:rsidR="00671814" w:rsidRPr="004D4C57">
        <w:rPr>
          <w:color w:val="000000" w:themeColor="text1"/>
        </w:rPr>
        <w:t>8</w:t>
      </w:r>
      <w:r w:rsidRPr="004D4C57">
        <w:rPr>
          <w:color w:val="000000" w:themeColor="text1"/>
        </w:rPr>
        <w:t>. E-mail: jeremy.hamm@</w:t>
      </w:r>
      <w:r w:rsidR="00671814" w:rsidRPr="004D4C57">
        <w:rPr>
          <w:color w:val="000000" w:themeColor="text1"/>
        </w:rPr>
        <w:t>ndsu.edu</w:t>
      </w:r>
      <w:r w:rsidRPr="004D4C57">
        <w:rPr>
          <w:color w:val="000000" w:themeColor="text1"/>
        </w:rPr>
        <w:t xml:space="preserve"> </w:t>
      </w:r>
    </w:p>
    <w:p w14:paraId="0FC879BE" w14:textId="331D5660" w:rsidR="00263A04" w:rsidRPr="004D4C57" w:rsidRDefault="004544D2" w:rsidP="004544D2">
      <w:pPr>
        <w:spacing w:line="480" w:lineRule="auto"/>
        <w:ind w:firstLine="720"/>
        <w:rPr>
          <w:color w:val="000000" w:themeColor="text1"/>
          <w:lang w:val="en-CA"/>
        </w:rPr>
      </w:pPr>
      <w:r w:rsidRPr="004D4C57">
        <w:rPr>
          <w:color w:val="000000" w:themeColor="text1"/>
        </w:rPr>
        <w:lastRenderedPageBreak/>
        <w:t xml:space="preserve">This study was supported by Postdoctoral Fellowships to Jeremy M. Hamm from the Social Sciences and Humanities Research Council of Canada, the Canadian Institutes of Health Research, and the Fonds de recherche Santé Quebec. </w:t>
      </w:r>
      <w:r w:rsidR="003633CB" w:rsidRPr="004D4C57">
        <w:rPr>
          <w:color w:val="000000" w:themeColor="text1"/>
        </w:rPr>
        <w:t xml:space="preserve">Study data were from the Midlife in the United States Study (MIDUS) which was supported by grants from the </w:t>
      </w:r>
      <w:r w:rsidR="003633CB" w:rsidRPr="004D4C57">
        <w:rPr>
          <w:color w:val="000000" w:themeColor="text1"/>
          <w:lang w:val="en-CA"/>
        </w:rPr>
        <w:t>John D. and Catherine T. MacArthur Foundation Research Network and the National Institute on Aging (P01-AG020166; U19-AG051426).</w:t>
      </w:r>
      <w:r w:rsidR="001C5B08" w:rsidRPr="004D4C57">
        <w:rPr>
          <w:color w:val="000000" w:themeColor="text1"/>
          <w:lang w:val="en-CA"/>
        </w:rPr>
        <w:t xml:space="preserve"> MIDUS data are available from the Inter-university Consortium for Political and Social Research (ICPSR): </w:t>
      </w:r>
      <w:hyperlink r:id="rId8" w:history="1">
        <w:r w:rsidR="001C5B08" w:rsidRPr="004D4C57">
          <w:rPr>
            <w:rStyle w:val="Hyperlink"/>
            <w:color w:val="000000" w:themeColor="text1"/>
            <w:lang w:val="en-CA"/>
          </w:rPr>
          <w:t>https://www.icpsr.umich.edu/icpsrweb/ICPSR/series/203</w:t>
        </w:r>
      </w:hyperlink>
      <w:r w:rsidR="001C5B08" w:rsidRPr="004D4C57">
        <w:rPr>
          <w:color w:val="000000" w:themeColor="text1"/>
          <w:lang w:val="en-CA"/>
        </w:rPr>
        <w:t xml:space="preserve">. </w:t>
      </w:r>
      <w:r w:rsidR="001C5B08" w:rsidRPr="004D4C57">
        <w:rPr>
          <w:color w:val="000000" w:themeColor="text1"/>
        </w:rPr>
        <w:t>Parts of this research were presented at the Gerontological Society of America</w:t>
      </w:r>
      <w:r w:rsidRPr="004D4C57">
        <w:rPr>
          <w:color w:val="000000" w:themeColor="text1"/>
        </w:rPr>
        <w:t xml:space="preserve"> Annual Scientific Meeting</w:t>
      </w:r>
      <w:r w:rsidR="001C5B08" w:rsidRPr="004D4C57">
        <w:rPr>
          <w:color w:val="000000" w:themeColor="text1"/>
        </w:rPr>
        <w:t xml:space="preserve"> in Boston, November 201</w:t>
      </w:r>
      <w:r w:rsidR="00517CD4" w:rsidRPr="004D4C57">
        <w:rPr>
          <w:color w:val="000000" w:themeColor="text1"/>
        </w:rPr>
        <w:t>8</w:t>
      </w:r>
      <w:r w:rsidR="001C5B08" w:rsidRPr="004D4C57">
        <w:rPr>
          <w:color w:val="000000" w:themeColor="text1"/>
        </w:rPr>
        <w:t>.</w:t>
      </w:r>
      <w:r w:rsidR="00263A04" w:rsidRPr="004D4C57">
        <w:rPr>
          <w:color w:val="000000" w:themeColor="text1"/>
          <w:lang w:val="en-CA"/>
        </w:rPr>
        <w:br w:type="page"/>
      </w:r>
    </w:p>
    <w:p w14:paraId="24FB3308" w14:textId="28396BD7" w:rsidR="00625D2E" w:rsidRPr="004D4C57" w:rsidRDefault="00263A04" w:rsidP="00263A04">
      <w:pPr>
        <w:spacing w:line="480" w:lineRule="auto"/>
        <w:jc w:val="center"/>
        <w:rPr>
          <w:color w:val="000000" w:themeColor="text1"/>
        </w:rPr>
      </w:pPr>
      <w:r w:rsidRPr="004D4C57">
        <w:rPr>
          <w:color w:val="000000" w:themeColor="text1"/>
        </w:rPr>
        <w:lastRenderedPageBreak/>
        <w:t>Abstract</w:t>
      </w:r>
    </w:p>
    <w:p w14:paraId="2FC3C8C3" w14:textId="0C5D0B47" w:rsidR="00E77124" w:rsidRPr="004D4C57" w:rsidRDefault="00E77124" w:rsidP="00E77124">
      <w:pPr>
        <w:spacing w:line="480" w:lineRule="auto"/>
        <w:rPr>
          <w:color w:val="000000" w:themeColor="text1"/>
          <w:lang w:val="en-CA"/>
        </w:rPr>
      </w:pPr>
      <w:r w:rsidRPr="004D4C57">
        <w:rPr>
          <w:color w:val="000000" w:themeColor="text1"/>
          <w:lang w:val="en-CA"/>
        </w:rPr>
        <w:t>Retiring is associated with increased risk of cognitive decline</w:t>
      </w:r>
      <w:r w:rsidRPr="004D4C57">
        <w:rPr>
          <w:color w:val="000000" w:themeColor="text1"/>
        </w:rPr>
        <w:t xml:space="preserve"> (e.g., </w:t>
      </w:r>
      <w:proofErr w:type="spellStart"/>
      <w:r w:rsidR="005311A5" w:rsidRPr="004D4C57">
        <w:rPr>
          <w:color w:val="000000" w:themeColor="text1"/>
        </w:rPr>
        <w:t>Bonsang</w:t>
      </w:r>
      <w:proofErr w:type="spellEnd"/>
      <w:r w:rsidR="005311A5" w:rsidRPr="004D4C57">
        <w:rPr>
          <w:color w:val="000000" w:themeColor="text1"/>
        </w:rPr>
        <w:t xml:space="preserve"> et al., 2012;</w:t>
      </w:r>
      <w:r w:rsidRPr="004D4C57">
        <w:rPr>
          <w:color w:val="000000" w:themeColor="text1"/>
        </w:rPr>
        <w:t xml:space="preserve"> </w:t>
      </w:r>
      <w:proofErr w:type="spellStart"/>
      <w:r w:rsidRPr="004D4C57">
        <w:rPr>
          <w:color w:val="000000" w:themeColor="text1"/>
        </w:rPr>
        <w:t>Wickrama</w:t>
      </w:r>
      <w:proofErr w:type="spellEnd"/>
      <w:r w:rsidRPr="004D4C57">
        <w:rPr>
          <w:color w:val="000000" w:themeColor="text1"/>
        </w:rPr>
        <w:t xml:space="preserve"> et al., 2013)</w:t>
      </w:r>
      <w:r w:rsidRPr="004D4C57">
        <w:rPr>
          <w:color w:val="000000" w:themeColor="text1"/>
          <w:lang w:val="en-CA"/>
        </w:rPr>
        <w:t xml:space="preserve">. However, little is known about the moderating role of motivational and demographic factors </w:t>
      </w:r>
      <w:r w:rsidR="00CB5A23" w:rsidRPr="004D4C57">
        <w:rPr>
          <w:color w:val="000000" w:themeColor="text1"/>
          <w:lang w:val="en-CA"/>
        </w:rPr>
        <w:t xml:space="preserve">that are </w:t>
      </w:r>
      <w:r w:rsidRPr="004D4C57">
        <w:rPr>
          <w:color w:val="000000" w:themeColor="text1"/>
          <w:lang w:val="en-CA"/>
        </w:rPr>
        <w:t>implicated in adaptive development and the retirement transition process.</w:t>
      </w:r>
      <w:r w:rsidRPr="004D4C57">
        <w:rPr>
          <w:color w:val="000000" w:themeColor="text1"/>
        </w:rPr>
        <w:t xml:space="preserve"> We </w:t>
      </w:r>
      <w:r w:rsidRPr="004D4C57">
        <w:rPr>
          <w:color w:val="000000" w:themeColor="text1"/>
          <w:lang w:val="en-CA"/>
        </w:rPr>
        <w:t xml:space="preserve">used </w:t>
      </w:r>
      <w:r w:rsidR="00770BF3" w:rsidRPr="004D4C57">
        <w:rPr>
          <w:color w:val="000000" w:themeColor="text1"/>
          <w:lang w:val="en-CA"/>
        </w:rPr>
        <w:t xml:space="preserve">data from </w:t>
      </w:r>
      <w:r w:rsidRPr="004D4C57">
        <w:rPr>
          <w:color w:val="000000" w:themeColor="text1"/>
          <w:lang w:val="en-CA"/>
        </w:rPr>
        <w:t>the Midlife in the United States Study (</w:t>
      </w:r>
      <w:r w:rsidRPr="004D4C57">
        <w:rPr>
          <w:i/>
          <w:iCs/>
          <w:color w:val="000000" w:themeColor="text1"/>
          <w:lang w:val="en-CA"/>
        </w:rPr>
        <w:t xml:space="preserve">n </w:t>
      </w:r>
      <w:r w:rsidRPr="004D4C57">
        <w:rPr>
          <w:color w:val="000000" w:themeColor="text1"/>
          <w:lang w:val="en-CA"/>
        </w:rPr>
        <w:t xml:space="preserve">= 732, </w:t>
      </w:r>
      <w:r w:rsidRPr="004D4C57">
        <w:rPr>
          <w:i/>
          <w:iCs/>
          <w:color w:val="000000" w:themeColor="text1"/>
          <w:lang w:val="en-CA"/>
        </w:rPr>
        <w:t>M</w:t>
      </w:r>
      <w:r w:rsidRPr="004D4C57">
        <w:rPr>
          <w:color w:val="000000" w:themeColor="text1"/>
          <w:lang w:val="en-CA"/>
        </w:rPr>
        <w:t xml:space="preserve"> age = 57, </w:t>
      </w:r>
      <w:r w:rsidRPr="004D4C57">
        <w:rPr>
          <w:i/>
          <w:iCs/>
          <w:color w:val="000000" w:themeColor="text1"/>
          <w:lang w:val="en-CA"/>
        </w:rPr>
        <w:t>SD</w:t>
      </w:r>
      <w:r w:rsidRPr="004D4C57">
        <w:rPr>
          <w:color w:val="000000" w:themeColor="text1"/>
          <w:lang w:val="en-CA"/>
        </w:rPr>
        <w:t xml:space="preserve"> = 5.76, 50% female) to</w:t>
      </w:r>
      <w:r w:rsidRPr="004D4C57">
        <w:rPr>
          <w:color w:val="000000" w:themeColor="text1"/>
        </w:rPr>
        <w:t xml:space="preserve"> examine whether the association between retirement and cognitive decline depended on </w:t>
      </w:r>
      <w:r w:rsidR="00D55EFC" w:rsidRPr="004D4C57">
        <w:rPr>
          <w:color w:val="000000" w:themeColor="text1"/>
        </w:rPr>
        <w:t>a key motivational factor (</w:t>
      </w:r>
      <w:r w:rsidRPr="004D4C57">
        <w:rPr>
          <w:color w:val="000000" w:themeColor="text1"/>
        </w:rPr>
        <w:t>goal disengagement</w:t>
      </w:r>
      <w:r w:rsidR="00D55EFC" w:rsidRPr="004D4C57">
        <w:rPr>
          <w:color w:val="000000" w:themeColor="text1"/>
        </w:rPr>
        <w:t>)</w:t>
      </w:r>
      <w:r w:rsidR="00CB5A23" w:rsidRPr="004D4C57">
        <w:rPr>
          <w:color w:val="000000" w:themeColor="text1"/>
        </w:rPr>
        <w:t xml:space="preserve"> </w:t>
      </w:r>
      <w:r w:rsidRPr="004D4C57">
        <w:rPr>
          <w:color w:val="000000" w:themeColor="text1"/>
        </w:rPr>
        <w:t xml:space="preserve">in propensity score matched samples of older retirees and employees. </w:t>
      </w:r>
      <w:r w:rsidR="00D55EFC" w:rsidRPr="004D4C57">
        <w:rPr>
          <w:color w:val="000000" w:themeColor="text1"/>
        </w:rPr>
        <w:t xml:space="preserve">We </w:t>
      </w:r>
      <w:r w:rsidR="0042322C" w:rsidRPr="004D4C57">
        <w:rPr>
          <w:color w:val="000000" w:themeColor="text1"/>
        </w:rPr>
        <w:t>explored</w:t>
      </w:r>
      <w:r w:rsidR="00D55EFC" w:rsidRPr="004D4C57">
        <w:rPr>
          <w:color w:val="000000" w:themeColor="text1"/>
        </w:rPr>
        <w:t xml:space="preserve"> whether these effects were further moderated by gender. </w:t>
      </w:r>
      <w:r w:rsidRPr="004D4C57">
        <w:rPr>
          <w:color w:val="000000" w:themeColor="text1"/>
        </w:rPr>
        <w:t>Results showed that those who retired (vs. remained employed) experienced steeper nine-year declines in episodic memory (</w:t>
      </w:r>
      <w:r w:rsidRPr="004D4C57">
        <w:rPr>
          <w:i/>
          <w:color w:val="000000" w:themeColor="text1"/>
        </w:rPr>
        <w:t>b</w:t>
      </w:r>
      <w:r w:rsidRPr="004D4C57">
        <w:rPr>
          <w:color w:val="000000" w:themeColor="text1"/>
        </w:rPr>
        <w:t xml:space="preserve"> = -.41, </w:t>
      </w:r>
      <w:r w:rsidRPr="004D4C57">
        <w:rPr>
          <w:i/>
          <w:color w:val="000000" w:themeColor="text1"/>
        </w:rPr>
        <w:t>p</w:t>
      </w:r>
      <w:r w:rsidRPr="004D4C57">
        <w:rPr>
          <w:color w:val="000000" w:themeColor="text1"/>
        </w:rPr>
        <w:t xml:space="preserve"> = .001) only if they were high in goal disengagement and female. Findings are consistent with theories of lifespan development and cognitive aging and </w:t>
      </w:r>
      <w:r w:rsidR="00810876" w:rsidRPr="004D4C57">
        <w:rPr>
          <w:color w:val="000000" w:themeColor="text1"/>
        </w:rPr>
        <w:t xml:space="preserve">provide initial evidence </w:t>
      </w:r>
      <w:r w:rsidRPr="004D4C57">
        <w:rPr>
          <w:color w:val="000000" w:themeColor="text1"/>
        </w:rPr>
        <w:t xml:space="preserve">that retirement </w:t>
      </w:r>
      <w:r w:rsidR="00810876" w:rsidRPr="004D4C57">
        <w:rPr>
          <w:color w:val="000000" w:themeColor="text1"/>
        </w:rPr>
        <w:t>may be</w:t>
      </w:r>
      <w:r w:rsidR="002B219C" w:rsidRPr="004D4C57">
        <w:rPr>
          <w:color w:val="000000" w:themeColor="text1"/>
        </w:rPr>
        <w:t xml:space="preserve"> associated with increased </w:t>
      </w:r>
      <w:r w:rsidRPr="004D4C57">
        <w:rPr>
          <w:color w:val="000000" w:themeColor="text1"/>
        </w:rPr>
        <w:t>cognitive decline</w:t>
      </w:r>
      <w:r w:rsidR="002B219C" w:rsidRPr="004D4C57">
        <w:rPr>
          <w:color w:val="000000" w:themeColor="text1"/>
        </w:rPr>
        <w:t>s</w:t>
      </w:r>
      <w:r w:rsidRPr="004D4C57">
        <w:rPr>
          <w:color w:val="000000" w:themeColor="text1"/>
        </w:rPr>
        <w:t xml:space="preserve"> for only certain individuals prone to disengage from </w:t>
      </w:r>
      <w:r w:rsidR="00903F0D" w:rsidRPr="004D4C57">
        <w:rPr>
          <w:color w:val="000000" w:themeColor="text1"/>
        </w:rPr>
        <w:t>highly</w:t>
      </w:r>
      <w:r w:rsidRPr="004D4C57">
        <w:rPr>
          <w:color w:val="000000" w:themeColor="text1"/>
        </w:rPr>
        <w:t xml:space="preserve"> challenging</w:t>
      </w:r>
      <w:r w:rsidR="00421393" w:rsidRPr="004D4C57">
        <w:rPr>
          <w:color w:val="000000" w:themeColor="text1"/>
        </w:rPr>
        <w:t xml:space="preserve"> activities and goal pursuits</w:t>
      </w:r>
      <w:r w:rsidRPr="004D4C57">
        <w:rPr>
          <w:color w:val="000000" w:themeColor="text1"/>
        </w:rPr>
        <w:t>.</w:t>
      </w:r>
    </w:p>
    <w:p w14:paraId="40EA4CF0" w14:textId="68865A2A" w:rsidR="00C20A4B" w:rsidRPr="004D4C57" w:rsidRDefault="00C20A4B" w:rsidP="00263A04">
      <w:pPr>
        <w:spacing w:line="480" w:lineRule="auto"/>
        <w:rPr>
          <w:color w:val="000000" w:themeColor="text1"/>
        </w:rPr>
      </w:pPr>
      <w:r w:rsidRPr="004D4C57">
        <w:rPr>
          <w:i/>
          <w:color w:val="000000" w:themeColor="text1"/>
        </w:rPr>
        <w:t xml:space="preserve">Keywords: </w:t>
      </w:r>
      <w:r w:rsidR="000009C3" w:rsidRPr="004D4C57">
        <w:rPr>
          <w:iCs/>
          <w:color w:val="000000" w:themeColor="text1"/>
        </w:rPr>
        <w:t xml:space="preserve">motivation; </w:t>
      </w:r>
      <w:r w:rsidRPr="004D4C57">
        <w:rPr>
          <w:color w:val="000000" w:themeColor="text1"/>
        </w:rPr>
        <w:t>goal disengagement; cognitive functioning; aging; life course transitions</w:t>
      </w:r>
    </w:p>
    <w:p w14:paraId="3DEADDC3" w14:textId="4A1F3DCF" w:rsidR="00A453D4" w:rsidRPr="004D4C57" w:rsidRDefault="00A453D4">
      <w:pPr>
        <w:rPr>
          <w:color w:val="000000" w:themeColor="text1"/>
        </w:rPr>
      </w:pPr>
      <w:r w:rsidRPr="004D4C57">
        <w:rPr>
          <w:color w:val="000000" w:themeColor="text1"/>
        </w:rPr>
        <w:br w:type="page"/>
      </w:r>
    </w:p>
    <w:p w14:paraId="3C92E226" w14:textId="4CE49C30" w:rsidR="00344794" w:rsidRPr="004D4C57" w:rsidRDefault="00C62753" w:rsidP="00344794">
      <w:pPr>
        <w:spacing w:line="480" w:lineRule="auto"/>
        <w:jc w:val="center"/>
        <w:rPr>
          <w:color w:val="000000" w:themeColor="text1"/>
        </w:rPr>
      </w:pPr>
      <w:r w:rsidRPr="004D4C57">
        <w:rPr>
          <w:bCs/>
          <w:color w:val="000000" w:themeColor="text1"/>
        </w:rPr>
        <w:lastRenderedPageBreak/>
        <w:t>Risk of Cognitive Declines With Retirement: Who Declines and Why?</w:t>
      </w:r>
    </w:p>
    <w:p w14:paraId="7835C5C3" w14:textId="555494B1" w:rsidR="00F41A56" w:rsidRPr="004D4C57" w:rsidRDefault="006B2618" w:rsidP="00F41A56">
      <w:pPr>
        <w:spacing w:line="480" w:lineRule="auto"/>
        <w:ind w:firstLine="720"/>
        <w:rPr>
          <w:color w:val="000000" w:themeColor="text1"/>
        </w:rPr>
      </w:pPr>
      <w:r w:rsidRPr="004D4C57">
        <w:rPr>
          <w:color w:val="000000" w:themeColor="text1"/>
        </w:rPr>
        <w:t>Research</w:t>
      </w:r>
      <w:r w:rsidR="00A57157" w:rsidRPr="004D4C57">
        <w:rPr>
          <w:color w:val="000000" w:themeColor="text1"/>
        </w:rPr>
        <w:t xml:space="preserve"> shows that cognitive functioning declines as people age</w:t>
      </w:r>
      <w:r w:rsidR="004760E1" w:rsidRPr="004D4C57">
        <w:rPr>
          <w:color w:val="000000" w:themeColor="text1"/>
        </w:rPr>
        <w:t xml:space="preserve"> (Hughes</w:t>
      </w:r>
      <w:r w:rsidR="00636216" w:rsidRPr="004D4C57">
        <w:rPr>
          <w:color w:val="000000" w:themeColor="text1"/>
        </w:rPr>
        <w:t xml:space="preserve"> et al.,</w:t>
      </w:r>
      <w:r w:rsidR="004760E1" w:rsidRPr="004D4C57">
        <w:rPr>
          <w:color w:val="000000" w:themeColor="text1"/>
        </w:rPr>
        <w:t xml:space="preserve"> 2018; Salthouse, 2012)</w:t>
      </w:r>
      <w:r w:rsidR="00A57157" w:rsidRPr="004D4C57">
        <w:rPr>
          <w:color w:val="000000" w:themeColor="text1"/>
        </w:rPr>
        <w:t xml:space="preserve">. </w:t>
      </w:r>
      <w:r w:rsidR="00F41A56" w:rsidRPr="004D4C57">
        <w:rPr>
          <w:color w:val="000000" w:themeColor="text1"/>
        </w:rPr>
        <w:t>However, there is substantial variability in rates of cognitive decline</w:t>
      </w:r>
      <w:r w:rsidR="00C6430C" w:rsidRPr="004D4C57">
        <w:rPr>
          <w:color w:val="000000" w:themeColor="text1"/>
        </w:rPr>
        <w:t>,</w:t>
      </w:r>
      <w:r w:rsidR="00F41A56" w:rsidRPr="004D4C57">
        <w:rPr>
          <w:color w:val="000000" w:themeColor="text1"/>
        </w:rPr>
        <w:t xml:space="preserve"> which has been linked to individual differences and </w:t>
      </w:r>
      <w:r w:rsidR="00CE7C1F" w:rsidRPr="004D4C57">
        <w:rPr>
          <w:color w:val="000000" w:themeColor="text1"/>
        </w:rPr>
        <w:t>environmental factors</w:t>
      </w:r>
      <w:r w:rsidR="00F41A56" w:rsidRPr="004D4C57">
        <w:rPr>
          <w:color w:val="000000" w:themeColor="text1"/>
        </w:rPr>
        <w:t xml:space="preserve"> (</w:t>
      </w:r>
      <w:proofErr w:type="spellStart"/>
      <w:r w:rsidR="00F41A56" w:rsidRPr="004D4C57">
        <w:rPr>
          <w:color w:val="000000" w:themeColor="text1"/>
        </w:rPr>
        <w:t>Hultsch</w:t>
      </w:r>
      <w:proofErr w:type="spellEnd"/>
      <w:r w:rsidR="00F41A56" w:rsidRPr="004D4C57">
        <w:rPr>
          <w:color w:val="000000" w:themeColor="text1"/>
        </w:rPr>
        <w:t xml:space="preserve"> et al., 1999; Salthouse, 1991, 2006). Increasing evidence suggests the work-to-retirement transition involves </w:t>
      </w:r>
      <w:r w:rsidRPr="004D4C57">
        <w:rPr>
          <w:color w:val="000000" w:themeColor="text1"/>
        </w:rPr>
        <w:t>significant</w:t>
      </w:r>
      <w:r w:rsidR="00F41A56" w:rsidRPr="004D4C57">
        <w:rPr>
          <w:color w:val="000000" w:themeColor="text1"/>
        </w:rPr>
        <w:t xml:space="preserve"> changes in </w:t>
      </w:r>
      <w:r w:rsidRPr="004D4C57">
        <w:rPr>
          <w:color w:val="000000" w:themeColor="text1"/>
        </w:rPr>
        <w:t xml:space="preserve">exposure to simulating </w:t>
      </w:r>
      <w:r w:rsidR="00CE7C1F" w:rsidRPr="004D4C57">
        <w:rPr>
          <w:color w:val="000000" w:themeColor="text1"/>
        </w:rPr>
        <w:t>environments</w:t>
      </w:r>
      <w:r w:rsidRPr="004D4C57">
        <w:rPr>
          <w:color w:val="000000" w:themeColor="text1"/>
        </w:rPr>
        <w:t xml:space="preserve"> </w:t>
      </w:r>
      <w:r w:rsidR="00F41A56" w:rsidRPr="004D4C57">
        <w:rPr>
          <w:color w:val="000000" w:themeColor="text1"/>
        </w:rPr>
        <w:t>and that those who retire are at risk of steeper cognitive declines</w:t>
      </w:r>
      <w:r w:rsidRPr="004D4C57">
        <w:rPr>
          <w:color w:val="000000" w:themeColor="text1"/>
        </w:rPr>
        <w:t xml:space="preserve"> (</w:t>
      </w:r>
      <w:proofErr w:type="spellStart"/>
      <w:r w:rsidRPr="004D4C57">
        <w:rPr>
          <w:color w:val="000000" w:themeColor="text1"/>
        </w:rPr>
        <w:t>Bonsang</w:t>
      </w:r>
      <w:proofErr w:type="spellEnd"/>
      <w:r w:rsidRPr="004D4C57">
        <w:rPr>
          <w:color w:val="000000" w:themeColor="text1"/>
        </w:rPr>
        <w:t xml:space="preserve"> et al., 2012; Clouston &amp; Denier, 2017; </w:t>
      </w:r>
      <w:proofErr w:type="spellStart"/>
      <w:r w:rsidRPr="004D4C57">
        <w:rPr>
          <w:color w:val="000000" w:themeColor="text1"/>
        </w:rPr>
        <w:t>Wickrama</w:t>
      </w:r>
      <w:proofErr w:type="spellEnd"/>
      <w:r w:rsidRPr="004D4C57">
        <w:rPr>
          <w:color w:val="000000" w:themeColor="text1"/>
        </w:rPr>
        <w:t xml:space="preserve"> et al., 2013)</w:t>
      </w:r>
      <w:r w:rsidR="00F41A56" w:rsidRPr="004D4C57">
        <w:rPr>
          <w:color w:val="000000" w:themeColor="text1"/>
        </w:rPr>
        <w:t xml:space="preserve">. </w:t>
      </w:r>
    </w:p>
    <w:p w14:paraId="1CB03B87" w14:textId="532F8FCA" w:rsidR="00A73DA7" w:rsidRPr="004D4C57" w:rsidRDefault="00F37564" w:rsidP="007712B8">
      <w:pPr>
        <w:spacing w:line="480" w:lineRule="auto"/>
        <w:ind w:firstLine="720"/>
        <w:rPr>
          <w:color w:val="000000" w:themeColor="text1"/>
        </w:rPr>
      </w:pPr>
      <w:r w:rsidRPr="004D4C57">
        <w:rPr>
          <w:color w:val="000000" w:themeColor="text1"/>
        </w:rPr>
        <w:t>Consistent with</w:t>
      </w:r>
      <w:r w:rsidR="00F41A56" w:rsidRPr="004D4C57">
        <w:rPr>
          <w:color w:val="000000" w:themeColor="text1"/>
        </w:rPr>
        <w:t xml:space="preserve"> theories of cognitive aging</w:t>
      </w:r>
      <w:r w:rsidR="006B2618" w:rsidRPr="004D4C57">
        <w:rPr>
          <w:color w:val="000000" w:themeColor="text1"/>
        </w:rPr>
        <w:t xml:space="preserve"> </w:t>
      </w:r>
      <w:r w:rsidRPr="004D4C57">
        <w:rPr>
          <w:color w:val="000000" w:themeColor="text1"/>
        </w:rPr>
        <w:t>and the use-it-or-lose it hypothesis</w:t>
      </w:r>
      <w:r w:rsidR="00555338" w:rsidRPr="004D4C57">
        <w:rPr>
          <w:color w:val="000000" w:themeColor="text1"/>
        </w:rPr>
        <w:t xml:space="preserve"> (</w:t>
      </w:r>
      <w:proofErr w:type="spellStart"/>
      <w:r w:rsidR="00555338" w:rsidRPr="004D4C57">
        <w:rPr>
          <w:color w:val="000000" w:themeColor="text1"/>
        </w:rPr>
        <w:t>Hultsch</w:t>
      </w:r>
      <w:proofErr w:type="spellEnd"/>
      <w:r w:rsidR="00555338" w:rsidRPr="004D4C57">
        <w:rPr>
          <w:color w:val="000000" w:themeColor="text1"/>
        </w:rPr>
        <w:t xml:space="preserve"> et al., 1999)</w:t>
      </w:r>
      <w:r w:rsidR="00F41A56" w:rsidRPr="004D4C57">
        <w:rPr>
          <w:color w:val="000000" w:themeColor="text1"/>
        </w:rPr>
        <w:t>, t</w:t>
      </w:r>
      <w:r w:rsidR="00FA6047" w:rsidRPr="004D4C57">
        <w:rPr>
          <w:color w:val="000000" w:themeColor="text1"/>
          <w:szCs w:val="24"/>
          <w:lang w:val="en-CA"/>
        </w:rPr>
        <w:t xml:space="preserve">his </w:t>
      </w:r>
      <w:r w:rsidR="00C1537A" w:rsidRPr="004D4C57">
        <w:rPr>
          <w:color w:val="000000" w:themeColor="text1"/>
          <w:szCs w:val="24"/>
          <w:lang w:val="en-CA"/>
        </w:rPr>
        <w:t>implies</w:t>
      </w:r>
      <w:r w:rsidR="00FA6047" w:rsidRPr="004D4C57">
        <w:rPr>
          <w:color w:val="000000" w:themeColor="text1"/>
          <w:szCs w:val="24"/>
          <w:lang w:val="en-CA"/>
        </w:rPr>
        <w:t xml:space="preserve"> that some individuals struggle to replace </w:t>
      </w:r>
      <w:r w:rsidR="006C5B65" w:rsidRPr="004D4C57">
        <w:rPr>
          <w:color w:val="000000" w:themeColor="text1"/>
          <w:szCs w:val="24"/>
          <w:lang w:val="en-CA"/>
        </w:rPr>
        <w:t xml:space="preserve">mentally </w:t>
      </w:r>
      <w:r w:rsidR="00FA6047" w:rsidRPr="004D4C57">
        <w:rPr>
          <w:color w:val="000000" w:themeColor="text1"/>
          <w:szCs w:val="24"/>
          <w:lang w:val="en-CA"/>
        </w:rPr>
        <w:t xml:space="preserve">stimulating </w:t>
      </w:r>
      <w:r w:rsidR="00CE7C1F" w:rsidRPr="004D4C57">
        <w:rPr>
          <w:color w:val="000000" w:themeColor="text1"/>
          <w:szCs w:val="24"/>
          <w:lang w:val="en-CA"/>
        </w:rPr>
        <w:t xml:space="preserve">work </w:t>
      </w:r>
      <w:r w:rsidR="004865AC" w:rsidRPr="004D4C57">
        <w:rPr>
          <w:color w:val="000000" w:themeColor="text1"/>
          <w:szCs w:val="24"/>
          <w:lang w:val="en-CA"/>
        </w:rPr>
        <w:t>activities</w:t>
      </w:r>
      <w:r w:rsidR="00FA6047" w:rsidRPr="004D4C57">
        <w:rPr>
          <w:color w:val="000000" w:themeColor="text1"/>
          <w:szCs w:val="24"/>
          <w:lang w:val="en-CA"/>
        </w:rPr>
        <w:t xml:space="preserve"> once they retire.</w:t>
      </w:r>
      <w:r w:rsidR="00C1537A" w:rsidRPr="004D4C57">
        <w:rPr>
          <w:color w:val="000000" w:themeColor="text1"/>
          <w:szCs w:val="24"/>
          <w:lang w:val="en-CA"/>
        </w:rPr>
        <w:t xml:space="preserve"> </w:t>
      </w:r>
      <w:r w:rsidR="00C1537A" w:rsidRPr="004D4C57">
        <w:rPr>
          <w:color w:val="000000" w:themeColor="text1"/>
        </w:rPr>
        <w:t>H</w:t>
      </w:r>
      <w:r w:rsidR="00C1537A" w:rsidRPr="004D4C57">
        <w:rPr>
          <w:color w:val="000000" w:themeColor="text1"/>
          <w:szCs w:val="24"/>
        </w:rPr>
        <w:t>owever, risk of decline likely depend</w:t>
      </w:r>
      <w:r w:rsidR="008E7209" w:rsidRPr="004D4C57">
        <w:rPr>
          <w:color w:val="000000" w:themeColor="text1"/>
          <w:szCs w:val="24"/>
        </w:rPr>
        <w:t>s</w:t>
      </w:r>
      <w:r w:rsidR="00C1537A" w:rsidRPr="004D4C57">
        <w:rPr>
          <w:color w:val="000000" w:themeColor="text1"/>
          <w:szCs w:val="24"/>
        </w:rPr>
        <w:t xml:space="preserve"> on previously unexamined motivational factors implicated in adaptive development and the retirement transition process. </w:t>
      </w:r>
      <w:r w:rsidR="00C1537A" w:rsidRPr="004D4C57">
        <w:rPr>
          <w:color w:val="000000" w:themeColor="text1"/>
        </w:rPr>
        <w:t xml:space="preserve">For instance, goal disengagement </w:t>
      </w:r>
      <w:r w:rsidR="00E90783" w:rsidRPr="004D4C57">
        <w:rPr>
          <w:color w:val="000000" w:themeColor="text1"/>
        </w:rPr>
        <w:t xml:space="preserve">involves individual differences in people’s tendencies to reduce </w:t>
      </w:r>
      <w:r w:rsidR="00693C4F" w:rsidRPr="004D4C57">
        <w:rPr>
          <w:color w:val="000000" w:themeColor="text1"/>
        </w:rPr>
        <w:t xml:space="preserve">goal-directed </w:t>
      </w:r>
      <w:r w:rsidR="00E90783" w:rsidRPr="004D4C57">
        <w:rPr>
          <w:color w:val="000000" w:themeColor="text1"/>
        </w:rPr>
        <w:t xml:space="preserve">effort, lower aspirations, and decrease commitment to </w:t>
      </w:r>
      <w:r w:rsidR="004713B8" w:rsidRPr="004D4C57">
        <w:rPr>
          <w:color w:val="000000" w:themeColor="text1"/>
        </w:rPr>
        <w:t>personal</w:t>
      </w:r>
      <w:r w:rsidR="00E90783" w:rsidRPr="004D4C57">
        <w:rPr>
          <w:color w:val="000000" w:themeColor="text1"/>
        </w:rPr>
        <w:t xml:space="preserve"> objectives (Heckhausen et al., 2010; Wrosch et al., 2002). Trait-like goal</w:t>
      </w:r>
      <w:r w:rsidR="00C1537A" w:rsidRPr="004D4C57">
        <w:rPr>
          <w:color w:val="000000" w:themeColor="text1"/>
        </w:rPr>
        <w:t xml:space="preserve"> disengagement </w:t>
      </w:r>
      <w:r w:rsidR="00B54B58" w:rsidRPr="004D4C57">
        <w:rPr>
          <w:color w:val="000000" w:themeColor="text1"/>
        </w:rPr>
        <w:t xml:space="preserve">may play an important moderating role to the extent it </w:t>
      </w:r>
      <w:r w:rsidR="00C1537A" w:rsidRPr="004D4C57">
        <w:rPr>
          <w:color w:val="000000" w:themeColor="text1"/>
        </w:rPr>
        <w:t>undermine</w:t>
      </w:r>
      <w:r w:rsidR="00B54B58" w:rsidRPr="004D4C57">
        <w:rPr>
          <w:color w:val="000000" w:themeColor="text1"/>
        </w:rPr>
        <w:t>s</w:t>
      </w:r>
      <w:r w:rsidR="00C1537A" w:rsidRPr="004D4C57">
        <w:rPr>
          <w:color w:val="000000" w:themeColor="text1"/>
        </w:rPr>
        <w:t xml:space="preserve"> the motivation needed to replace former work tasks with new cognitively stimulating activities in retirement (Hamm</w:t>
      </w:r>
      <w:r w:rsidR="00636216" w:rsidRPr="004D4C57">
        <w:rPr>
          <w:color w:val="000000" w:themeColor="text1"/>
        </w:rPr>
        <w:t xml:space="preserve"> et al., </w:t>
      </w:r>
      <w:r w:rsidR="00184B04" w:rsidRPr="004D4C57">
        <w:rPr>
          <w:color w:val="000000" w:themeColor="text1"/>
        </w:rPr>
        <w:t>2019</w:t>
      </w:r>
      <w:r w:rsidR="00C1537A" w:rsidRPr="004D4C57">
        <w:rPr>
          <w:color w:val="000000" w:themeColor="text1"/>
        </w:rPr>
        <w:t>; Wrosch</w:t>
      </w:r>
      <w:r w:rsidR="00636216" w:rsidRPr="004D4C57">
        <w:rPr>
          <w:color w:val="000000" w:themeColor="text1"/>
        </w:rPr>
        <w:t xml:space="preserve"> et al., </w:t>
      </w:r>
      <w:r w:rsidR="00C1537A" w:rsidRPr="004D4C57">
        <w:rPr>
          <w:color w:val="000000" w:themeColor="text1"/>
        </w:rPr>
        <w:t xml:space="preserve">2000). Gender may further moderate this relationship considering that </w:t>
      </w:r>
      <w:r w:rsidR="007712B8" w:rsidRPr="004D4C57">
        <w:rPr>
          <w:color w:val="000000" w:themeColor="text1"/>
        </w:rPr>
        <w:t>retirement transition experiences, levels of cognitive functioning, and the associations between lifestyle activities and cognitive aging has been shown to differ for men and women</w:t>
      </w:r>
      <w:r w:rsidR="00C1537A" w:rsidRPr="004D4C57">
        <w:rPr>
          <w:color w:val="000000" w:themeColor="text1"/>
        </w:rPr>
        <w:t xml:space="preserve"> (</w:t>
      </w:r>
      <w:proofErr w:type="spellStart"/>
      <w:r w:rsidR="00EB1FC7" w:rsidRPr="004D4C57">
        <w:rPr>
          <w:color w:val="000000" w:themeColor="text1"/>
        </w:rPr>
        <w:t>Hassing</w:t>
      </w:r>
      <w:proofErr w:type="spellEnd"/>
      <w:r w:rsidR="00EB1FC7" w:rsidRPr="004D4C57">
        <w:rPr>
          <w:color w:val="000000" w:themeColor="text1"/>
        </w:rPr>
        <w:t xml:space="preserve">, 2020; </w:t>
      </w:r>
      <w:r w:rsidR="00C1537A" w:rsidRPr="004D4C57">
        <w:rPr>
          <w:color w:val="000000" w:themeColor="text1"/>
        </w:rPr>
        <w:t>Kim &amp; Moen, 2001; Lachman</w:t>
      </w:r>
      <w:r w:rsidR="00636216" w:rsidRPr="004D4C57">
        <w:rPr>
          <w:color w:val="000000" w:themeColor="text1"/>
        </w:rPr>
        <w:t xml:space="preserve"> et al.</w:t>
      </w:r>
      <w:r w:rsidR="00C22446" w:rsidRPr="004D4C57">
        <w:rPr>
          <w:color w:val="000000" w:themeColor="text1"/>
        </w:rPr>
        <w:t xml:space="preserve">, </w:t>
      </w:r>
      <w:r w:rsidR="00C1537A" w:rsidRPr="004D4C57">
        <w:rPr>
          <w:color w:val="000000" w:themeColor="text1"/>
        </w:rPr>
        <w:t xml:space="preserve">2014). </w:t>
      </w:r>
    </w:p>
    <w:p w14:paraId="7F751662" w14:textId="62AC0FBF" w:rsidR="00C1537A" w:rsidRPr="004D4C57" w:rsidRDefault="00C1537A" w:rsidP="00FA3526">
      <w:pPr>
        <w:spacing w:line="480" w:lineRule="auto"/>
        <w:ind w:firstLine="720"/>
        <w:rPr>
          <w:color w:val="000000" w:themeColor="text1"/>
          <w:szCs w:val="24"/>
        </w:rPr>
      </w:pPr>
      <w:r w:rsidRPr="004D4C57">
        <w:rPr>
          <w:color w:val="000000" w:themeColor="text1"/>
        </w:rPr>
        <w:t xml:space="preserve">The present study </w:t>
      </w:r>
      <w:r w:rsidR="00A73DA7" w:rsidRPr="004D4C57">
        <w:rPr>
          <w:color w:val="000000" w:themeColor="text1"/>
        </w:rPr>
        <w:t xml:space="preserve">used data from the Midlife in the United States Study (MIDUS) to examine moderated associations between retirement status and </w:t>
      </w:r>
      <w:r w:rsidR="009C0B52" w:rsidRPr="004D4C57">
        <w:rPr>
          <w:color w:val="000000" w:themeColor="text1"/>
        </w:rPr>
        <w:t>nine</w:t>
      </w:r>
      <w:r w:rsidR="00A73DA7" w:rsidRPr="004D4C57">
        <w:rPr>
          <w:color w:val="000000" w:themeColor="text1"/>
        </w:rPr>
        <w:t xml:space="preserve">-year cognitive functioning. </w:t>
      </w:r>
      <w:r w:rsidR="00A73DA7" w:rsidRPr="004D4C57">
        <w:rPr>
          <w:color w:val="000000" w:themeColor="text1"/>
        </w:rPr>
        <w:lastRenderedPageBreak/>
        <w:t xml:space="preserve">To do so, we propensity score matched retirees with similar others who remained employed and tested whether the effects of retirement status depended on </w:t>
      </w:r>
      <w:r w:rsidR="006C40CC" w:rsidRPr="004D4C57">
        <w:rPr>
          <w:color w:val="000000" w:themeColor="text1"/>
        </w:rPr>
        <w:t>goal disengagement and gender</w:t>
      </w:r>
      <w:r w:rsidR="00A73DA7" w:rsidRPr="004D4C57">
        <w:rPr>
          <w:color w:val="000000" w:themeColor="text1"/>
        </w:rPr>
        <w:t xml:space="preserve">. </w:t>
      </w:r>
    </w:p>
    <w:p w14:paraId="310DC74D" w14:textId="6CBC7781" w:rsidR="00083616" w:rsidRPr="004D4C57" w:rsidRDefault="00083616" w:rsidP="00FA3526">
      <w:pPr>
        <w:spacing w:line="480" w:lineRule="auto"/>
        <w:rPr>
          <w:b/>
          <w:color w:val="000000" w:themeColor="text1"/>
        </w:rPr>
      </w:pPr>
      <w:r w:rsidRPr="004D4C57">
        <w:rPr>
          <w:b/>
          <w:color w:val="000000" w:themeColor="text1"/>
        </w:rPr>
        <w:t xml:space="preserve">Adaptive Development and Cognitive Functioning During </w:t>
      </w:r>
      <w:r w:rsidR="00C22702" w:rsidRPr="004D4C57">
        <w:rPr>
          <w:b/>
          <w:color w:val="000000" w:themeColor="text1"/>
        </w:rPr>
        <w:t xml:space="preserve">the </w:t>
      </w:r>
      <w:r w:rsidRPr="004D4C57">
        <w:rPr>
          <w:b/>
          <w:color w:val="000000" w:themeColor="text1"/>
        </w:rPr>
        <w:t>Retirement Transition</w:t>
      </w:r>
    </w:p>
    <w:p w14:paraId="0513C05B" w14:textId="0B58B8BB" w:rsidR="00B2398E" w:rsidRPr="004D4C57" w:rsidRDefault="00C3291A" w:rsidP="00584889">
      <w:pPr>
        <w:spacing w:line="480" w:lineRule="auto"/>
        <w:ind w:firstLine="720"/>
        <w:rPr>
          <w:color w:val="000000" w:themeColor="text1"/>
        </w:rPr>
      </w:pPr>
      <w:r w:rsidRPr="004D4C57">
        <w:rPr>
          <w:color w:val="000000" w:themeColor="text1"/>
        </w:rPr>
        <w:t xml:space="preserve">Our study was informed by theoretical frameworks that pertain to the retirement transition process and address individual differences in lifespan development and cognitive aging. The motivational theory of lifespan development (MTD) provided a developmental framework relevant to the work-to-retirement transition. </w:t>
      </w:r>
      <w:r w:rsidR="004326A2" w:rsidRPr="004D4C57">
        <w:rPr>
          <w:color w:val="000000" w:themeColor="text1"/>
        </w:rPr>
        <w:t xml:space="preserve">Briefly, the MTD focuses on how individual differences in agency and motivation shape adaptive development (Heckhausen et al., 2010, 2019). Adaptive development depends on regulating motivation in response to changing opportunities and constraints that are affected by factors such as age, societal scaffolding, and major life course transitions. </w:t>
      </w:r>
      <w:r w:rsidR="00B2398E" w:rsidRPr="004D4C57">
        <w:rPr>
          <w:color w:val="000000" w:themeColor="text1"/>
        </w:rPr>
        <w:t xml:space="preserve">The </w:t>
      </w:r>
      <w:r w:rsidR="004326A2" w:rsidRPr="004D4C57">
        <w:rPr>
          <w:color w:val="000000" w:themeColor="text1"/>
        </w:rPr>
        <w:t xml:space="preserve">MTD proposes that developmental regulation is a joint function of external scaffolding involving structured opportunities and individual differences in motivation (Heckhausen, 1999; Heckhausen &amp; Buchmann, 2019). </w:t>
      </w:r>
    </w:p>
    <w:p w14:paraId="364FF9D8" w14:textId="16801995" w:rsidR="00B33F36" w:rsidRPr="004D4C57" w:rsidRDefault="004326A2" w:rsidP="00584889">
      <w:pPr>
        <w:spacing w:line="480" w:lineRule="auto"/>
        <w:ind w:firstLine="720"/>
        <w:rPr>
          <w:color w:val="000000" w:themeColor="text1"/>
        </w:rPr>
      </w:pPr>
      <w:r w:rsidRPr="004D4C57">
        <w:rPr>
          <w:color w:val="000000" w:themeColor="text1"/>
        </w:rPr>
        <w:t xml:space="preserve">For periods in the life course that offer limited external scaffolding (e.g., retirement) and thus require strong and autonomous motivation, </w:t>
      </w:r>
      <w:r w:rsidR="00B2398E" w:rsidRPr="004D4C57">
        <w:rPr>
          <w:color w:val="000000" w:themeColor="text1"/>
        </w:rPr>
        <w:t xml:space="preserve">MTD theory suggests that </w:t>
      </w:r>
      <w:r w:rsidRPr="004D4C57">
        <w:rPr>
          <w:color w:val="000000" w:themeColor="text1"/>
        </w:rPr>
        <w:t>individuals with a trait-like tendency to disengage from difficult tasks and goals may be vulnerable to maladaptive developmental outcomes such as early cognitive declines (Hamm</w:t>
      </w:r>
      <w:r w:rsidR="00B2398E" w:rsidRPr="004D4C57">
        <w:rPr>
          <w:color w:val="000000" w:themeColor="text1"/>
        </w:rPr>
        <w:t xml:space="preserve"> et al.,</w:t>
      </w:r>
      <w:r w:rsidRPr="004D4C57">
        <w:rPr>
          <w:color w:val="000000" w:themeColor="text1"/>
        </w:rPr>
        <w:t xml:space="preserve"> 2019; Heckhausen et al., 2017; Heckhausen &amp; Buchmann, 2019). The case in point within the context of the retirement transition is that, while employed, individuals are externally scaffolded to remain cognitively engaged as a function of their work activity. MTD theory implies that when these external scaffolds are eliminated with retirement, individual differences in goal disengagement may play an important role in moderating developmental trajectories of cognitive decline.</w:t>
      </w:r>
      <w:r w:rsidRPr="004D4C57">
        <w:rPr>
          <w:rStyle w:val="FootnoteReference"/>
          <w:color w:val="000000" w:themeColor="text1"/>
        </w:rPr>
        <w:footnoteReference w:id="1"/>
      </w:r>
    </w:p>
    <w:p w14:paraId="5E399300" w14:textId="5B7FD981" w:rsidR="00494651" w:rsidRPr="004D4C57" w:rsidRDefault="0076766F" w:rsidP="00EF76A5">
      <w:pPr>
        <w:spacing w:line="480" w:lineRule="auto"/>
        <w:ind w:firstLine="720"/>
        <w:rPr>
          <w:color w:val="000000" w:themeColor="text1"/>
        </w:rPr>
      </w:pPr>
      <w:r w:rsidRPr="004D4C57">
        <w:rPr>
          <w:color w:val="000000" w:themeColor="text1"/>
        </w:rPr>
        <w:lastRenderedPageBreak/>
        <w:t xml:space="preserve">Our study </w:t>
      </w:r>
      <w:r w:rsidR="000C5536" w:rsidRPr="004D4C57">
        <w:rPr>
          <w:color w:val="000000" w:themeColor="text1"/>
        </w:rPr>
        <w:t xml:space="preserve">also drew from </w:t>
      </w:r>
      <w:r w:rsidRPr="004D4C57">
        <w:rPr>
          <w:color w:val="000000" w:themeColor="text1"/>
        </w:rPr>
        <w:t xml:space="preserve">theoretical perspectives of cognitive aging that address cognitive enrichment and the </w:t>
      </w:r>
      <w:r w:rsidR="009840BB" w:rsidRPr="004D4C57">
        <w:rPr>
          <w:color w:val="000000" w:themeColor="text1"/>
        </w:rPr>
        <w:t>u</w:t>
      </w:r>
      <w:r w:rsidR="008765E2" w:rsidRPr="004D4C57">
        <w:rPr>
          <w:color w:val="000000" w:themeColor="text1"/>
        </w:rPr>
        <w:t xml:space="preserve">se-it-or-lose-it hypothesis </w:t>
      </w:r>
      <w:r w:rsidR="00C3537D" w:rsidRPr="004D4C57">
        <w:rPr>
          <w:color w:val="000000" w:themeColor="text1"/>
        </w:rPr>
        <w:t>(</w:t>
      </w:r>
      <w:r w:rsidR="00AF10F4" w:rsidRPr="004D4C57">
        <w:rPr>
          <w:color w:val="000000" w:themeColor="text1"/>
        </w:rPr>
        <w:t xml:space="preserve">Hertzog et al., 2008; </w:t>
      </w:r>
      <w:proofErr w:type="spellStart"/>
      <w:r w:rsidR="0099162F" w:rsidRPr="004D4C57">
        <w:rPr>
          <w:color w:val="000000" w:themeColor="text1"/>
        </w:rPr>
        <w:t>Hultsch</w:t>
      </w:r>
      <w:proofErr w:type="spellEnd"/>
      <w:r w:rsidR="00A75707" w:rsidRPr="004D4C57">
        <w:rPr>
          <w:color w:val="000000" w:themeColor="text1"/>
        </w:rPr>
        <w:t xml:space="preserve"> et al.,</w:t>
      </w:r>
      <w:r w:rsidR="0099162F" w:rsidRPr="004D4C57">
        <w:rPr>
          <w:color w:val="000000" w:themeColor="text1"/>
        </w:rPr>
        <w:t xml:space="preserve"> 1999; Salthouse, 2006</w:t>
      </w:r>
      <w:r w:rsidR="00C3537D" w:rsidRPr="004D4C57">
        <w:rPr>
          <w:color w:val="000000" w:themeColor="text1"/>
        </w:rPr>
        <w:t>)</w:t>
      </w:r>
      <w:r w:rsidR="008765E2" w:rsidRPr="004D4C57">
        <w:rPr>
          <w:color w:val="000000" w:themeColor="text1"/>
        </w:rPr>
        <w:t xml:space="preserve">. </w:t>
      </w:r>
      <w:r w:rsidRPr="004D4C57">
        <w:rPr>
          <w:color w:val="000000" w:themeColor="text1"/>
        </w:rPr>
        <w:t xml:space="preserve">The use-it-or-lose it </w:t>
      </w:r>
      <w:r w:rsidR="00F37564" w:rsidRPr="004D4C57">
        <w:rPr>
          <w:color w:val="000000" w:themeColor="text1"/>
        </w:rPr>
        <w:t>hypothesis</w:t>
      </w:r>
      <w:r w:rsidRPr="004D4C57">
        <w:rPr>
          <w:color w:val="000000" w:themeColor="text1"/>
        </w:rPr>
        <w:t xml:space="preserve"> is pertinent to the retirement transition in </w:t>
      </w:r>
      <w:r w:rsidR="00D8048D" w:rsidRPr="004D4C57">
        <w:rPr>
          <w:color w:val="000000" w:themeColor="text1"/>
        </w:rPr>
        <w:t xml:space="preserve">that it </w:t>
      </w:r>
      <w:r w:rsidR="00304545" w:rsidRPr="004D4C57">
        <w:rPr>
          <w:color w:val="000000" w:themeColor="text1"/>
        </w:rPr>
        <w:t>suggests</w:t>
      </w:r>
      <w:r w:rsidR="00B32DD3" w:rsidRPr="004D4C57">
        <w:rPr>
          <w:color w:val="000000" w:themeColor="text1"/>
        </w:rPr>
        <w:t xml:space="preserve"> current mental activities </w:t>
      </w:r>
      <w:r w:rsidR="00ED469E" w:rsidRPr="004D4C57">
        <w:rPr>
          <w:color w:val="000000" w:themeColor="text1"/>
        </w:rPr>
        <w:t xml:space="preserve">should </w:t>
      </w:r>
      <w:r w:rsidR="00B32DD3" w:rsidRPr="004D4C57">
        <w:rPr>
          <w:color w:val="000000" w:themeColor="text1"/>
        </w:rPr>
        <w:t>influence change</w:t>
      </w:r>
      <w:r w:rsidR="002F34A7" w:rsidRPr="004D4C57">
        <w:rPr>
          <w:color w:val="000000" w:themeColor="text1"/>
        </w:rPr>
        <w:t>s</w:t>
      </w:r>
      <w:r w:rsidR="00B32DD3" w:rsidRPr="004D4C57">
        <w:rPr>
          <w:color w:val="000000" w:themeColor="text1"/>
        </w:rPr>
        <w:t xml:space="preserve"> in</w:t>
      </w:r>
      <w:r w:rsidR="00FA3526" w:rsidRPr="004D4C57">
        <w:rPr>
          <w:color w:val="000000" w:themeColor="text1"/>
        </w:rPr>
        <w:t xml:space="preserve"> cognitive functioning </w:t>
      </w:r>
      <w:r w:rsidR="00B32DD3" w:rsidRPr="004D4C57">
        <w:rPr>
          <w:color w:val="000000" w:themeColor="text1"/>
        </w:rPr>
        <w:t xml:space="preserve">over time. Frequent exposure to </w:t>
      </w:r>
      <w:r w:rsidR="00543825" w:rsidRPr="004D4C57">
        <w:rPr>
          <w:color w:val="000000" w:themeColor="text1"/>
        </w:rPr>
        <w:t>stimulating</w:t>
      </w:r>
      <w:r w:rsidR="00B32DD3" w:rsidRPr="004D4C57">
        <w:rPr>
          <w:color w:val="000000" w:themeColor="text1"/>
        </w:rPr>
        <w:t xml:space="preserve"> activities and environments </w:t>
      </w:r>
      <w:r w:rsidR="00FA3526" w:rsidRPr="004D4C57">
        <w:rPr>
          <w:color w:val="000000" w:themeColor="text1"/>
        </w:rPr>
        <w:t xml:space="preserve">are </w:t>
      </w:r>
      <w:r w:rsidR="00B32DD3" w:rsidRPr="004D4C57">
        <w:rPr>
          <w:color w:val="000000" w:themeColor="text1"/>
        </w:rPr>
        <w:t>theorized to slow rate</w:t>
      </w:r>
      <w:r w:rsidR="00FA3526" w:rsidRPr="004D4C57">
        <w:rPr>
          <w:color w:val="000000" w:themeColor="text1"/>
        </w:rPr>
        <w:t>s</w:t>
      </w:r>
      <w:r w:rsidR="00B32DD3" w:rsidRPr="004D4C57">
        <w:rPr>
          <w:color w:val="000000" w:themeColor="text1"/>
        </w:rPr>
        <w:t xml:space="preserve"> of age-related decline</w:t>
      </w:r>
      <w:r w:rsidR="00DE0F93" w:rsidRPr="004D4C57">
        <w:rPr>
          <w:color w:val="000000" w:themeColor="text1"/>
        </w:rPr>
        <w:t xml:space="preserve"> (</w:t>
      </w:r>
      <w:proofErr w:type="spellStart"/>
      <w:r w:rsidR="00DE0F93" w:rsidRPr="004D4C57">
        <w:rPr>
          <w:color w:val="000000" w:themeColor="text1"/>
        </w:rPr>
        <w:t>Hultsch</w:t>
      </w:r>
      <w:proofErr w:type="spellEnd"/>
      <w:r w:rsidR="00DE0F93" w:rsidRPr="004D4C57">
        <w:rPr>
          <w:color w:val="000000" w:themeColor="text1"/>
        </w:rPr>
        <w:t xml:space="preserve"> et al., 1999)</w:t>
      </w:r>
      <w:r w:rsidR="00B32DD3" w:rsidRPr="004D4C57">
        <w:rPr>
          <w:color w:val="000000" w:themeColor="text1"/>
        </w:rPr>
        <w:t xml:space="preserve">. </w:t>
      </w:r>
      <w:r w:rsidR="002F34A7" w:rsidRPr="004D4C57">
        <w:rPr>
          <w:color w:val="000000" w:themeColor="text1"/>
        </w:rPr>
        <w:t>This implies that some individuals</w:t>
      </w:r>
      <w:r w:rsidR="00FA3526" w:rsidRPr="004D4C57">
        <w:rPr>
          <w:color w:val="000000" w:themeColor="text1"/>
        </w:rPr>
        <w:t xml:space="preserve"> </w:t>
      </w:r>
      <w:r w:rsidR="007F4053" w:rsidRPr="004D4C57">
        <w:rPr>
          <w:color w:val="000000" w:themeColor="text1"/>
        </w:rPr>
        <w:t xml:space="preserve">may be </w:t>
      </w:r>
      <w:r w:rsidR="002F34A7" w:rsidRPr="004D4C57">
        <w:rPr>
          <w:color w:val="000000" w:themeColor="text1"/>
        </w:rPr>
        <w:t xml:space="preserve">at increased risk of decline </w:t>
      </w:r>
      <w:r w:rsidR="00D03CBC" w:rsidRPr="004D4C57">
        <w:rPr>
          <w:color w:val="000000" w:themeColor="text1"/>
        </w:rPr>
        <w:t>during</w:t>
      </w:r>
      <w:r w:rsidR="00796EF4" w:rsidRPr="004D4C57">
        <w:rPr>
          <w:color w:val="000000" w:themeColor="text1"/>
        </w:rPr>
        <w:t xml:space="preserve"> </w:t>
      </w:r>
      <w:r w:rsidR="00FA3526" w:rsidRPr="004D4C57">
        <w:rPr>
          <w:color w:val="000000" w:themeColor="text1"/>
        </w:rPr>
        <w:t xml:space="preserve">work-to-retirement transitions </w:t>
      </w:r>
      <w:r w:rsidR="00E22BED" w:rsidRPr="004D4C57">
        <w:rPr>
          <w:color w:val="000000" w:themeColor="text1"/>
        </w:rPr>
        <w:t xml:space="preserve">that </w:t>
      </w:r>
      <w:r w:rsidR="009F780F" w:rsidRPr="004D4C57">
        <w:rPr>
          <w:color w:val="000000" w:themeColor="text1"/>
        </w:rPr>
        <w:t xml:space="preserve">engender </w:t>
      </w:r>
      <w:r w:rsidR="00FA3526" w:rsidRPr="004D4C57">
        <w:rPr>
          <w:color w:val="000000" w:themeColor="text1"/>
        </w:rPr>
        <w:t xml:space="preserve">major changes in day-to-day </w:t>
      </w:r>
      <w:r w:rsidR="00230B33" w:rsidRPr="004D4C57">
        <w:rPr>
          <w:color w:val="000000" w:themeColor="text1"/>
        </w:rPr>
        <w:t xml:space="preserve">cognitive </w:t>
      </w:r>
      <w:r w:rsidR="00FA3526" w:rsidRPr="004D4C57">
        <w:rPr>
          <w:color w:val="000000" w:themeColor="text1"/>
        </w:rPr>
        <w:t>activities</w:t>
      </w:r>
      <w:r w:rsidR="00796EF4" w:rsidRPr="004D4C57">
        <w:rPr>
          <w:color w:val="000000" w:themeColor="text1"/>
        </w:rPr>
        <w:t>.</w:t>
      </w:r>
      <w:r w:rsidR="00ED15BE" w:rsidRPr="004D4C57">
        <w:rPr>
          <w:color w:val="000000" w:themeColor="text1"/>
        </w:rPr>
        <w:t xml:space="preserve"> </w:t>
      </w:r>
    </w:p>
    <w:p w14:paraId="08435906" w14:textId="0105FFF9" w:rsidR="004D3D54" w:rsidRPr="004D4C57" w:rsidRDefault="00EF76A5" w:rsidP="00EF76A5">
      <w:pPr>
        <w:spacing w:line="480" w:lineRule="auto"/>
        <w:ind w:firstLine="720"/>
        <w:rPr>
          <w:color w:val="000000" w:themeColor="text1"/>
        </w:rPr>
      </w:pPr>
      <w:r w:rsidRPr="004D4C57">
        <w:rPr>
          <w:color w:val="000000" w:themeColor="text1"/>
        </w:rPr>
        <w:t>These changes create new opportunities (gains) and constraints (losses) for cognitive engagement in retirement</w:t>
      </w:r>
      <w:r w:rsidR="00EB0048" w:rsidRPr="004D4C57">
        <w:rPr>
          <w:color w:val="000000" w:themeColor="text1"/>
        </w:rPr>
        <w:t>.</w:t>
      </w:r>
      <w:r w:rsidR="00DD0778" w:rsidRPr="004D4C57">
        <w:rPr>
          <w:color w:val="000000" w:themeColor="text1"/>
        </w:rPr>
        <w:t xml:space="preserve"> </w:t>
      </w:r>
      <w:r w:rsidR="00543825" w:rsidRPr="004D4C57">
        <w:rPr>
          <w:color w:val="000000" w:themeColor="text1"/>
        </w:rPr>
        <w:t>R</w:t>
      </w:r>
      <w:r w:rsidR="00B96041" w:rsidRPr="004D4C57">
        <w:rPr>
          <w:color w:val="000000" w:themeColor="text1"/>
        </w:rPr>
        <w:t xml:space="preserve">etirement involves losses in the form of </w:t>
      </w:r>
      <w:r w:rsidR="00BA675F" w:rsidRPr="004D4C57">
        <w:rPr>
          <w:color w:val="000000" w:themeColor="text1"/>
        </w:rPr>
        <w:t xml:space="preserve">discontinued </w:t>
      </w:r>
      <w:r w:rsidR="00B96041" w:rsidRPr="004D4C57">
        <w:rPr>
          <w:color w:val="000000" w:themeColor="text1"/>
        </w:rPr>
        <w:t xml:space="preserve">work activities that provided daily opportunities for </w:t>
      </w:r>
      <w:r w:rsidR="005C4F08" w:rsidRPr="004D4C57">
        <w:rPr>
          <w:color w:val="000000" w:themeColor="text1"/>
        </w:rPr>
        <w:t xml:space="preserve">cognitive </w:t>
      </w:r>
      <w:r w:rsidR="00B96041" w:rsidRPr="004D4C57">
        <w:rPr>
          <w:color w:val="000000" w:themeColor="text1"/>
        </w:rPr>
        <w:t>engagement</w:t>
      </w:r>
      <w:r w:rsidR="00AE12A2" w:rsidRPr="004D4C57">
        <w:rPr>
          <w:color w:val="000000" w:themeColor="text1"/>
        </w:rPr>
        <w:t xml:space="preserve"> (Fisher et al., 2014</w:t>
      </w:r>
      <w:r w:rsidR="00FF5D07" w:rsidRPr="004D4C57">
        <w:rPr>
          <w:color w:val="000000" w:themeColor="text1"/>
        </w:rPr>
        <w:t xml:space="preserve">; </w:t>
      </w:r>
      <w:proofErr w:type="spellStart"/>
      <w:r w:rsidR="00FF5D07" w:rsidRPr="004D4C57">
        <w:rPr>
          <w:color w:val="000000" w:themeColor="text1"/>
        </w:rPr>
        <w:t>Wickrama</w:t>
      </w:r>
      <w:proofErr w:type="spellEnd"/>
      <w:r w:rsidR="00FF5D07" w:rsidRPr="004D4C57">
        <w:rPr>
          <w:color w:val="000000" w:themeColor="text1"/>
        </w:rPr>
        <w:t xml:space="preserve"> et al., 2013</w:t>
      </w:r>
      <w:r w:rsidR="00AE12A2" w:rsidRPr="004D4C57">
        <w:rPr>
          <w:color w:val="000000" w:themeColor="text1"/>
        </w:rPr>
        <w:t>)</w:t>
      </w:r>
      <w:r w:rsidR="00ED15BE" w:rsidRPr="004D4C57">
        <w:rPr>
          <w:color w:val="000000" w:themeColor="text1"/>
        </w:rPr>
        <w:t xml:space="preserve">, and </w:t>
      </w:r>
      <w:r w:rsidR="00B96041" w:rsidRPr="004D4C57">
        <w:rPr>
          <w:color w:val="000000" w:themeColor="text1"/>
        </w:rPr>
        <w:t>gains in the form of increased autonomy and opportunities to engage with new goals</w:t>
      </w:r>
      <w:r w:rsidR="008B2EE2" w:rsidRPr="004D4C57">
        <w:rPr>
          <w:color w:val="000000" w:themeColor="text1"/>
        </w:rPr>
        <w:t xml:space="preserve"> that can provide </w:t>
      </w:r>
      <w:r w:rsidR="00362F55" w:rsidRPr="004D4C57">
        <w:rPr>
          <w:color w:val="000000" w:themeColor="text1"/>
        </w:rPr>
        <w:t>mental</w:t>
      </w:r>
      <w:r w:rsidR="008B2EE2" w:rsidRPr="004D4C57">
        <w:rPr>
          <w:color w:val="000000" w:themeColor="text1"/>
        </w:rPr>
        <w:t xml:space="preserve"> stimulation</w:t>
      </w:r>
      <w:r w:rsidR="00AB322E" w:rsidRPr="004D4C57">
        <w:rPr>
          <w:color w:val="000000" w:themeColor="text1"/>
        </w:rPr>
        <w:t xml:space="preserve"> (Lachman, 1986; Kim &amp; Moen, 2001)</w:t>
      </w:r>
      <w:r w:rsidR="00B96041" w:rsidRPr="004D4C57">
        <w:rPr>
          <w:color w:val="000000" w:themeColor="text1"/>
        </w:rPr>
        <w:t>.</w:t>
      </w:r>
      <w:r w:rsidR="005C018A" w:rsidRPr="004D4C57">
        <w:rPr>
          <w:color w:val="000000" w:themeColor="text1"/>
        </w:rPr>
        <w:t xml:space="preserve"> </w:t>
      </w:r>
      <w:r w:rsidR="00431678" w:rsidRPr="004D4C57">
        <w:rPr>
          <w:color w:val="000000" w:themeColor="text1"/>
        </w:rPr>
        <w:t xml:space="preserve">This </w:t>
      </w:r>
      <w:r w:rsidR="005C018A" w:rsidRPr="004D4C57">
        <w:rPr>
          <w:color w:val="000000" w:themeColor="text1"/>
        </w:rPr>
        <w:t xml:space="preserve">pattern of losses and gains implies </w:t>
      </w:r>
      <w:r w:rsidR="00F22654" w:rsidRPr="004D4C57">
        <w:rPr>
          <w:color w:val="000000" w:themeColor="text1"/>
        </w:rPr>
        <w:t xml:space="preserve">strong </w:t>
      </w:r>
      <w:r w:rsidR="003E6AF9" w:rsidRPr="004D4C57">
        <w:rPr>
          <w:color w:val="000000" w:themeColor="text1"/>
        </w:rPr>
        <w:t xml:space="preserve">motivation </w:t>
      </w:r>
      <w:r w:rsidR="00431678" w:rsidRPr="004D4C57">
        <w:rPr>
          <w:color w:val="000000" w:themeColor="text1"/>
        </w:rPr>
        <w:t xml:space="preserve">is </w:t>
      </w:r>
      <w:r w:rsidR="003E6AF9" w:rsidRPr="004D4C57">
        <w:rPr>
          <w:color w:val="000000" w:themeColor="text1"/>
        </w:rPr>
        <w:t xml:space="preserve">needed to replace </w:t>
      </w:r>
      <w:r w:rsidR="00723531" w:rsidRPr="004D4C57">
        <w:rPr>
          <w:color w:val="000000" w:themeColor="text1"/>
        </w:rPr>
        <w:t>work</w:t>
      </w:r>
      <w:r w:rsidR="003E6AF9" w:rsidRPr="004D4C57">
        <w:rPr>
          <w:color w:val="000000" w:themeColor="text1"/>
        </w:rPr>
        <w:t xml:space="preserve"> activities </w:t>
      </w:r>
      <w:r w:rsidR="00ED15BE" w:rsidRPr="004D4C57">
        <w:rPr>
          <w:color w:val="000000" w:themeColor="text1"/>
        </w:rPr>
        <w:t>with new cognitively stimulating activities</w:t>
      </w:r>
      <w:r w:rsidR="005C018A" w:rsidRPr="004D4C57">
        <w:rPr>
          <w:color w:val="000000" w:themeColor="text1"/>
        </w:rPr>
        <w:t>.</w:t>
      </w:r>
      <w:r w:rsidR="00DC71FF" w:rsidRPr="004D4C57">
        <w:rPr>
          <w:color w:val="000000" w:themeColor="text1"/>
        </w:rPr>
        <w:t xml:space="preserve"> </w:t>
      </w:r>
      <w:r w:rsidR="00543825" w:rsidRPr="004D4C57">
        <w:rPr>
          <w:color w:val="000000" w:themeColor="text1"/>
        </w:rPr>
        <w:t>Research documenting</w:t>
      </w:r>
      <w:r w:rsidR="00AF7C82" w:rsidRPr="004D4C57">
        <w:rPr>
          <w:color w:val="000000" w:themeColor="text1"/>
        </w:rPr>
        <w:t xml:space="preserve"> </w:t>
      </w:r>
      <w:r w:rsidR="00514DE0" w:rsidRPr="004D4C57">
        <w:rPr>
          <w:color w:val="000000" w:themeColor="text1"/>
        </w:rPr>
        <w:t>cognitive decline</w:t>
      </w:r>
      <w:r w:rsidR="00AF7C82" w:rsidRPr="004D4C57">
        <w:rPr>
          <w:color w:val="000000" w:themeColor="text1"/>
        </w:rPr>
        <w:t>s</w:t>
      </w:r>
      <w:r w:rsidR="001454E2" w:rsidRPr="004D4C57">
        <w:rPr>
          <w:color w:val="000000" w:themeColor="text1"/>
        </w:rPr>
        <w:t xml:space="preserve"> during the retirement transition suggests </w:t>
      </w:r>
      <w:r w:rsidR="004D3D54" w:rsidRPr="004D4C57">
        <w:rPr>
          <w:color w:val="000000" w:themeColor="text1"/>
        </w:rPr>
        <w:t xml:space="preserve">this </w:t>
      </w:r>
      <w:r w:rsidR="001A49B4" w:rsidRPr="004D4C57">
        <w:rPr>
          <w:color w:val="000000" w:themeColor="text1"/>
        </w:rPr>
        <w:t>is</w:t>
      </w:r>
      <w:r w:rsidR="004D3D54" w:rsidRPr="004D4C57">
        <w:rPr>
          <w:color w:val="000000" w:themeColor="text1"/>
        </w:rPr>
        <w:t xml:space="preserve"> a challenging task</w:t>
      </w:r>
      <w:r w:rsidR="00932AAB" w:rsidRPr="004D4C57">
        <w:rPr>
          <w:color w:val="000000" w:themeColor="text1"/>
        </w:rPr>
        <w:t xml:space="preserve"> (</w:t>
      </w:r>
      <w:proofErr w:type="spellStart"/>
      <w:r w:rsidR="00932AAB" w:rsidRPr="004D4C57">
        <w:rPr>
          <w:color w:val="000000" w:themeColor="text1"/>
        </w:rPr>
        <w:t>Bonsang</w:t>
      </w:r>
      <w:proofErr w:type="spellEnd"/>
      <w:r w:rsidR="0078763D" w:rsidRPr="004D4C57">
        <w:rPr>
          <w:color w:val="000000" w:themeColor="text1"/>
        </w:rPr>
        <w:t xml:space="preserve"> et al.</w:t>
      </w:r>
      <w:r w:rsidR="00932AAB" w:rsidRPr="004D4C57">
        <w:rPr>
          <w:color w:val="000000" w:themeColor="text1"/>
        </w:rPr>
        <w:t>, 2012; Clouston &amp; Denier, 2017</w:t>
      </w:r>
      <w:r w:rsidR="002F7F05" w:rsidRPr="004D4C57">
        <w:rPr>
          <w:color w:val="000000" w:themeColor="text1"/>
        </w:rPr>
        <w:t>; see the OSM</w:t>
      </w:r>
      <w:r w:rsidR="00C80DE6" w:rsidRPr="004D4C57">
        <w:rPr>
          <w:color w:val="000000" w:themeColor="text1"/>
        </w:rPr>
        <w:t xml:space="preserve"> for details</w:t>
      </w:r>
      <w:r w:rsidR="00932AAB" w:rsidRPr="004D4C57">
        <w:rPr>
          <w:color w:val="000000" w:themeColor="text1"/>
        </w:rPr>
        <w:t>)</w:t>
      </w:r>
      <w:r w:rsidR="004D3D54" w:rsidRPr="004D4C57">
        <w:rPr>
          <w:color w:val="000000" w:themeColor="text1"/>
        </w:rPr>
        <w:t>.</w:t>
      </w:r>
    </w:p>
    <w:p w14:paraId="359C0E0B" w14:textId="51DB1B3F" w:rsidR="00AB7751" w:rsidRPr="004D4C57" w:rsidRDefault="002468A5" w:rsidP="00C1042A">
      <w:pPr>
        <w:spacing w:line="480" w:lineRule="auto"/>
        <w:ind w:firstLine="720"/>
        <w:rPr>
          <w:color w:val="000000" w:themeColor="text1"/>
        </w:rPr>
      </w:pPr>
      <w:r w:rsidRPr="004D4C57">
        <w:rPr>
          <w:color w:val="000000" w:themeColor="text1"/>
        </w:rPr>
        <w:t xml:space="preserve">However, little is known about </w:t>
      </w:r>
      <w:r w:rsidR="00F41A56" w:rsidRPr="004D4C57">
        <w:rPr>
          <w:color w:val="000000" w:themeColor="text1"/>
        </w:rPr>
        <w:t xml:space="preserve">factors that </w:t>
      </w:r>
      <w:r w:rsidR="00AB0296" w:rsidRPr="004D4C57">
        <w:rPr>
          <w:color w:val="000000" w:themeColor="text1"/>
        </w:rPr>
        <w:t>moderate the association between retirement status and cognitive decline</w:t>
      </w:r>
      <w:r w:rsidR="00596A36" w:rsidRPr="004D4C57">
        <w:rPr>
          <w:color w:val="000000" w:themeColor="text1"/>
        </w:rPr>
        <w:t>,</w:t>
      </w:r>
      <w:r w:rsidR="00693C4F" w:rsidRPr="004D4C57">
        <w:rPr>
          <w:color w:val="000000" w:themeColor="text1"/>
        </w:rPr>
        <w:t xml:space="preserve"> despite substantial variability in this association (</w:t>
      </w:r>
      <w:proofErr w:type="spellStart"/>
      <w:r w:rsidR="00693C4F" w:rsidRPr="004D4C57">
        <w:rPr>
          <w:color w:val="000000" w:themeColor="text1"/>
        </w:rPr>
        <w:t>Hülür</w:t>
      </w:r>
      <w:proofErr w:type="spellEnd"/>
      <w:r w:rsidR="00693C4F" w:rsidRPr="004D4C57">
        <w:rPr>
          <w:color w:val="000000" w:themeColor="text1"/>
        </w:rPr>
        <w:t xml:space="preserve"> et al., 2019; </w:t>
      </w:r>
      <w:proofErr w:type="spellStart"/>
      <w:r w:rsidR="00693C4F" w:rsidRPr="004D4C57">
        <w:rPr>
          <w:color w:val="000000" w:themeColor="text1"/>
        </w:rPr>
        <w:t>Oltmanns</w:t>
      </w:r>
      <w:proofErr w:type="spellEnd"/>
      <w:r w:rsidR="00693C4F" w:rsidRPr="004D4C57">
        <w:rPr>
          <w:color w:val="000000" w:themeColor="text1"/>
        </w:rPr>
        <w:t xml:space="preserve"> et al., 2017)</w:t>
      </w:r>
      <w:r w:rsidR="00AB0296" w:rsidRPr="004D4C57">
        <w:rPr>
          <w:color w:val="000000" w:themeColor="text1"/>
        </w:rPr>
        <w:t xml:space="preserve">. </w:t>
      </w:r>
      <w:r w:rsidR="003B7E0C" w:rsidRPr="004D4C57">
        <w:rPr>
          <w:color w:val="000000" w:themeColor="text1"/>
        </w:rPr>
        <w:t>Research</w:t>
      </w:r>
      <w:r w:rsidR="00AB0296" w:rsidRPr="004D4C57">
        <w:rPr>
          <w:color w:val="000000" w:themeColor="text1"/>
        </w:rPr>
        <w:t xml:space="preserve"> examin</w:t>
      </w:r>
      <w:r w:rsidR="004050CD" w:rsidRPr="004D4C57">
        <w:rPr>
          <w:color w:val="000000" w:themeColor="text1"/>
        </w:rPr>
        <w:t>ing</w:t>
      </w:r>
      <w:r w:rsidR="00AB0296" w:rsidRPr="004D4C57">
        <w:rPr>
          <w:color w:val="000000" w:themeColor="text1"/>
        </w:rPr>
        <w:t xml:space="preserve"> </w:t>
      </w:r>
      <w:r w:rsidR="00914498" w:rsidRPr="004D4C57">
        <w:rPr>
          <w:color w:val="000000" w:themeColor="text1"/>
        </w:rPr>
        <w:t xml:space="preserve">the </w:t>
      </w:r>
      <w:r w:rsidR="00F41A56" w:rsidRPr="004D4C57">
        <w:rPr>
          <w:color w:val="000000" w:themeColor="text1"/>
        </w:rPr>
        <w:t xml:space="preserve">issue </w:t>
      </w:r>
      <w:r w:rsidR="003B7E0C" w:rsidRPr="004D4C57">
        <w:rPr>
          <w:color w:val="000000" w:themeColor="text1"/>
        </w:rPr>
        <w:t>has</w:t>
      </w:r>
      <w:r w:rsidR="00AB0296" w:rsidRPr="004D4C57">
        <w:rPr>
          <w:color w:val="000000" w:themeColor="text1"/>
        </w:rPr>
        <w:t xml:space="preserve"> largely focused on </w:t>
      </w:r>
      <w:r w:rsidR="001737EA" w:rsidRPr="004D4C57">
        <w:rPr>
          <w:color w:val="000000" w:themeColor="text1"/>
        </w:rPr>
        <w:t xml:space="preserve">mental demands </w:t>
      </w:r>
      <w:r w:rsidR="00EE14EC" w:rsidRPr="004D4C57">
        <w:rPr>
          <w:color w:val="000000" w:themeColor="text1"/>
        </w:rPr>
        <w:t xml:space="preserve">or task complexity </w:t>
      </w:r>
      <w:r w:rsidR="001737EA" w:rsidRPr="004D4C57">
        <w:rPr>
          <w:color w:val="000000" w:themeColor="text1"/>
        </w:rPr>
        <w:t>at work (Fisher et al., 2014</w:t>
      </w:r>
      <w:r w:rsidR="00EE14EC" w:rsidRPr="004D4C57">
        <w:rPr>
          <w:color w:val="000000" w:themeColor="text1"/>
        </w:rPr>
        <w:t>; Kajitani et al., 2017</w:t>
      </w:r>
      <w:r w:rsidR="00DE4F29" w:rsidRPr="004D4C57">
        <w:rPr>
          <w:color w:val="000000" w:themeColor="text1"/>
        </w:rPr>
        <w:t xml:space="preserve">; </w:t>
      </w:r>
      <w:proofErr w:type="spellStart"/>
      <w:r w:rsidR="00DE4F29" w:rsidRPr="004D4C57">
        <w:rPr>
          <w:color w:val="000000" w:themeColor="text1"/>
        </w:rPr>
        <w:t>Mazzonna</w:t>
      </w:r>
      <w:proofErr w:type="spellEnd"/>
      <w:r w:rsidR="00DE4F29" w:rsidRPr="004D4C57">
        <w:rPr>
          <w:color w:val="000000" w:themeColor="text1"/>
        </w:rPr>
        <w:t xml:space="preserve"> &amp; </w:t>
      </w:r>
      <w:proofErr w:type="spellStart"/>
      <w:r w:rsidR="00DE4F29" w:rsidRPr="004D4C57">
        <w:rPr>
          <w:color w:val="000000" w:themeColor="text1"/>
        </w:rPr>
        <w:t>Peracchi</w:t>
      </w:r>
      <w:proofErr w:type="spellEnd"/>
      <w:r w:rsidR="00DE4F29" w:rsidRPr="004D4C57">
        <w:rPr>
          <w:color w:val="000000" w:themeColor="text1"/>
        </w:rPr>
        <w:t>, 2012</w:t>
      </w:r>
      <w:r w:rsidR="001737EA" w:rsidRPr="004D4C57">
        <w:rPr>
          <w:color w:val="000000" w:themeColor="text1"/>
        </w:rPr>
        <w:t>)</w:t>
      </w:r>
      <w:r w:rsidR="00F41A56" w:rsidRPr="004D4C57">
        <w:rPr>
          <w:color w:val="000000" w:themeColor="text1"/>
        </w:rPr>
        <w:t xml:space="preserve">, but </w:t>
      </w:r>
      <w:r w:rsidR="00E86770" w:rsidRPr="004D4C57">
        <w:rPr>
          <w:color w:val="000000" w:themeColor="text1"/>
        </w:rPr>
        <w:t>has</w:t>
      </w:r>
      <w:r w:rsidR="00F41A56" w:rsidRPr="004D4C57">
        <w:rPr>
          <w:color w:val="000000" w:themeColor="text1"/>
        </w:rPr>
        <w:t xml:space="preserve"> yet to consider</w:t>
      </w:r>
      <w:r w:rsidR="001737EA" w:rsidRPr="004D4C57">
        <w:rPr>
          <w:color w:val="000000" w:themeColor="text1"/>
        </w:rPr>
        <w:t xml:space="preserve"> individual differences in broader motivation factors implicated in adaptive development </w:t>
      </w:r>
      <w:r w:rsidR="00754087" w:rsidRPr="004D4C57">
        <w:rPr>
          <w:color w:val="000000" w:themeColor="text1"/>
        </w:rPr>
        <w:t>and the retirement transition</w:t>
      </w:r>
      <w:r w:rsidR="00AB0296" w:rsidRPr="004D4C57">
        <w:rPr>
          <w:color w:val="000000" w:themeColor="text1"/>
        </w:rPr>
        <w:t>.</w:t>
      </w:r>
      <w:r w:rsidR="009F7776" w:rsidRPr="004D4C57">
        <w:rPr>
          <w:color w:val="000000" w:themeColor="text1"/>
        </w:rPr>
        <w:t xml:space="preserve"> </w:t>
      </w:r>
      <w:r w:rsidR="008472BD" w:rsidRPr="004D4C57">
        <w:rPr>
          <w:color w:val="000000" w:themeColor="text1"/>
        </w:rPr>
        <w:t>T</w:t>
      </w:r>
      <w:r w:rsidR="0041060D" w:rsidRPr="004D4C57">
        <w:rPr>
          <w:color w:val="000000" w:themeColor="text1"/>
        </w:rPr>
        <w:t xml:space="preserve">he </w:t>
      </w:r>
      <w:r w:rsidR="001737EA" w:rsidRPr="004D4C57">
        <w:rPr>
          <w:color w:val="000000" w:themeColor="text1"/>
        </w:rPr>
        <w:t xml:space="preserve">MTD points to goal disengagement as </w:t>
      </w:r>
      <w:r w:rsidR="00987C6D" w:rsidRPr="004D4C57">
        <w:rPr>
          <w:color w:val="000000" w:themeColor="text1"/>
        </w:rPr>
        <w:lastRenderedPageBreak/>
        <w:t>a</w:t>
      </w:r>
      <w:r w:rsidR="00103804" w:rsidRPr="004D4C57">
        <w:rPr>
          <w:color w:val="000000" w:themeColor="text1"/>
        </w:rPr>
        <w:t>n important</w:t>
      </w:r>
      <w:r w:rsidR="00987C6D" w:rsidRPr="004D4C57">
        <w:rPr>
          <w:color w:val="000000" w:themeColor="text1"/>
        </w:rPr>
        <w:t xml:space="preserve"> </w:t>
      </w:r>
      <w:r w:rsidR="001737EA" w:rsidRPr="004D4C57">
        <w:rPr>
          <w:color w:val="000000" w:themeColor="text1"/>
        </w:rPr>
        <w:t xml:space="preserve">motivation factor that may moderate </w:t>
      </w:r>
      <w:r w:rsidR="00FD5519" w:rsidRPr="004D4C57">
        <w:rPr>
          <w:color w:val="000000" w:themeColor="text1"/>
        </w:rPr>
        <w:t xml:space="preserve">the </w:t>
      </w:r>
      <w:r w:rsidR="001737EA" w:rsidRPr="004D4C57">
        <w:rPr>
          <w:color w:val="000000" w:themeColor="text1"/>
        </w:rPr>
        <w:t xml:space="preserve">influence of retirement on </w:t>
      </w:r>
      <w:r w:rsidR="00337FA9" w:rsidRPr="004D4C57">
        <w:rPr>
          <w:color w:val="000000" w:themeColor="text1"/>
        </w:rPr>
        <w:t xml:space="preserve">developmental </w:t>
      </w:r>
      <w:r w:rsidR="003B7E0C" w:rsidRPr="004D4C57">
        <w:rPr>
          <w:color w:val="000000" w:themeColor="text1"/>
        </w:rPr>
        <w:t xml:space="preserve">changes in </w:t>
      </w:r>
      <w:r w:rsidR="00FD5519" w:rsidRPr="004D4C57">
        <w:rPr>
          <w:color w:val="000000" w:themeColor="text1"/>
        </w:rPr>
        <w:t>cognitive functioning (Heckhausen et al., 2019; Shane &amp; Heckhausen, 2019)</w:t>
      </w:r>
      <w:r w:rsidR="001737EA" w:rsidRPr="004D4C57">
        <w:rPr>
          <w:color w:val="000000" w:themeColor="text1"/>
        </w:rPr>
        <w:t xml:space="preserve">. </w:t>
      </w:r>
      <w:r w:rsidR="00AB7751" w:rsidRPr="004D4C57">
        <w:rPr>
          <w:color w:val="000000" w:themeColor="text1"/>
        </w:rPr>
        <w:t xml:space="preserve">Individual differences in goal disengagement may </w:t>
      </w:r>
      <w:r w:rsidR="001F3E85" w:rsidRPr="004D4C57">
        <w:rPr>
          <w:color w:val="000000" w:themeColor="text1"/>
        </w:rPr>
        <w:t xml:space="preserve">affect </w:t>
      </w:r>
      <w:r w:rsidR="00AB7751" w:rsidRPr="004D4C57">
        <w:rPr>
          <w:color w:val="000000" w:themeColor="text1"/>
        </w:rPr>
        <w:t>whether people seek out versus avoid cognitive challenges once external prompts have fallen away with retirement.</w:t>
      </w:r>
    </w:p>
    <w:p w14:paraId="6A434666" w14:textId="5DB125F0" w:rsidR="00BA6DA7" w:rsidRPr="004D4C57" w:rsidRDefault="00494651" w:rsidP="004F6BD3">
      <w:pPr>
        <w:spacing w:line="480" w:lineRule="auto"/>
        <w:ind w:firstLine="720"/>
        <w:rPr>
          <w:color w:val="000000" w:themeColor="text1"/>
        </w:rPr>
      </w:pPr>
      <w:r w:rsidRPr="004D4C57">
        <w:rPr>
          <w:color w:val="000000" w:themeColor="text1"/>
        </w:rPr>
        <w:t>For those prone to goal disengagement, r</w:t>
      </w:r>
      <w:r w:rsidR="00103804" w:rsidRPr="004D4C57">
        <w:rPr>
          <w:color w:val="000000" w:themeColor="text1"/>
        </w:rPr>
        <w:t>etiring</w:t>
      </w:r>
      <w:r w:rsidR="002E54A3" w:rsidRPr="004D4C57">
        <w:rPr>
          <w:color w:val="000000" w:themeColor="text1"/>
        </w:rPr>
        <w:t xml:space="preserve"> eliminates</w:t>
      </w:r>
      <w:r w:rsidR="00FD5519" w:rsidRPr="004D4C57">
        <w:rPr>
          <w:color w:val="000000" w:themeColor="text1"/>
        </w:rPr>
        <w:t xml:space="preserve"> an</w:t>
      </w:r>
      <w:r w:rsidR="002E54A3" w:rsidRPr="004D4C57">
        <w:rPr>
          <w:color w:val="000000" w:themeColor="text1"/>
        </w:rPr>
        <w:t xml:space="preserve"> </w:t>
      </w:r>
      <w:r w:rsidR="003D1C15" w:rsidRPr="004D4C57">
        <w:rPr>
          <w:color w:val="000000" w:themeColor="text1"/>
        </w:rPr>
        <w:t>important</w:t>
      </w:r>
      <w:r w:rsidR="002E54A3" w:rsidRPr="004D4C57">
        <w:rPr>
          <w:color w:val="000000" w:themeColor="text1"/>
        </w:rPr>
        <w:t xml:space="preserve"> source of structured opportunities for cognitive engagement inherent </w:t>
      </w:r>
      <w:r w:rsidR="001A03A3" w:rsidRPr="004D4C57">
        <w:rPr>
          <w:color w:val="000000" w:themeColor="text1"/>
        </w:rPr>
        <w:t xml:space="preserve">to </w:t>
      </w:r>
      <w:r w:rsidR="002E54A3" w:rsidRPr="004D4C57">
        <w:rPr>
          <w:color w:val="000000" w:themeColor="text1"/>
        </w:rPr>
        <w:t>daily work tasks</w:t>
      </w:r>
      <w:r w:rsidR="00862652" w:rsidRPr="004D4C57">
        <w:rPr>
          <w:color w:val="000000" w:themeColor="text1"/>
        </w:rPr>
        <w:t xml:space="preserve"> (</w:t>
      </w:r>
      <w:proofErr w:type="spellStart"/>
      <w:r w:rsidR="00862652" w:rsidRPr="004D4C57">
        <w:rPr>
          <w:color w:val="000000" w:themeColor="text1"/>
        </w:rPr>
        <w:t>Wickrama</w:t>
      </w:r>
      <w:proofErr w:type="spellEnd"/>
      <w:r w:rsidR="00862652" w:rsidRPr="004D4C57">
        <w:rPr>
          <w:color w:val="000000" w:themeColor="text1"/>
        </w:rPr>
        <w:t xml:space="preserve"> et al., 2013)</w:t>
      </w:r>
      <w:r w:rsidR="002E54A3" w:rsidRPr="004D4C57">
        <w:rPr>
          <w:color w:val="000000" w:themeColor="text1"/>
        </w:rPr>
        <w:t>.</w:t>
      </w:r>
      <w:r w:rsidR="003806D5" w:rsidRPr="004D4C57">
        <w:rPr>
          <w:color w:val="000000" w:themeColor="text1"/>
        </w:rPr>
        <w:t xml:space="preserve"> </w:t>
      </w:r>
      <w:r w:rsidR="00103804" w:rsidRPr="004D4C57">
        <w:rPr>
          <w:color w:val="000000" w:themeColor="text1"/>
        </w:rPr>
        <w:t>W</w:t>
      </w:r>
      <w:r w:rsidR="00135CF5" w:rsidRPr="004D4C57">
        <w:rPr>
          <w:color w:val="000000" w:themeColor="text1"/>
        </w:rPr>
        <w:t>ork environments commonly require individuals to engage in executive functioning tasks</w:t>
      </w:r>
      <w:r w:rsidR="00103804" w:rsidRPr="004D4C57">
        <w:rPr>
          <w:color w:val="000000" w:themeColor="text1"/>
        </w:rPr>
        <w:t xml:space="preserve"> </w:t>
      </w:r>
      <w:r w:rsidR="001F3E85" w:rsidRPr="004D4C57">
        <w:rPr>
          <w:color w:val="000000" w:themeColor="text1"/>
        </w:rPr>
        <w:t>and</w:t>
      </w:r>
      <w:r w:rsidR="00135CF5" w:rsidRPr="004D4C57">
        <w:rPr>
          <w:color w:val="000000" w:themeColor="text1"/>
        </w:rPr>
        <w:t xml:space="preserve"> </w:t>
      </w:r>
      <w:r w:rsidR="002F219D" w:rsidRPr="004D4C57">
        <w:rPr>
          <w:color w:val="000000" w:themeColor="text1"/>
        </w:rPr>
        <w:t>necessitate</w:t>
      </w:r>
      <w:r w:rsidR="00135CF5" w:rsidRPr="004D4C57">
        <w:rPr>
          <w:color w:val="000000" w:themeColor="text1"/>
        </w:rPr>
        <w:t xml:space="preserve"> the </w:t>
      </w:r>
      <w:r w:rsidR="002F219D" w:rsidRPr="004D4C57">
        <w:rPr>
          <w:color w:val="000000" w:themeColor="text1"/>
        </w:rPr>
        <w:t>frequent</w:t>
      </w:r>
      <w:r w:rsidR="00135CF5" w:rsidRPr="004D4C57">
        <w:rPr>
          <w:color w:val="000000" w:themeColor="text1"/>
        </w:rPr>
        <w:t xml:space="preserve"> </w:t>
      </w:r>
      <w:r w:rsidR="00224AF6" w:rsidRPr="004D4C57">
        <w:rPr>
          <w:color w:val="000000" w:themeColor="text1"/>
        </w:rPr>
        <w:t>use</w:t>
      </w:r>
      <w:r w:rsidR="00135CF5" w:rsidRPr="004D4C57">
        <w:rPr>
          <w:color w:val="000000" w:themeColor="text1"/>
        </w:rPr>
        <w:t xml:space="preserve"> of episodic memory for deadlines, appointments, and social interactions. </w:t>
      </w:r>
      <w:r w:rsidR="00103804" w:rsidRPr="004D4C57">
        <w:rPr>
          <w:color w:val="000000" w:themeColor="text1"/>
        </w:rPr>
        <w:t>T</w:t>
      </w:r>
      <w:r w:rsidR="00E77146" w:rsidRPr="004D4C57">
        <w:rPr>
          <w:color w:val="000000" w:themeColor="text1"/>
        </w:rPr>
        <w:t>he use-it-or-lose-it hypothes</w:t>
      </w:r>
      <w:r w:rsidR="00751DC9" w:rsidRPr="004D4C57">
        <w:rPr>
          <w:color w:val="000000" w:themeColor="text1"/>
        </w:rPr>
        <w:t>i</w:t>
      </w:r>
      <w:r w:rsidR="00E77146" w:rsidRPr="004D4C57">
        <w:rPr>
          <w:color w:val="000000" w:themeColor="text1"/>
        </w:rPr>
        <w:t>s (</w:t>
      </w:r>
      <w:r w:rsidR="008B067B" w:rsidRPr="004D4C57">
        <w:rPr>
          <w:color w:val="000000" w:themeColor="text1"/>
        </w:rPr>
        <w:t>Hertzog</w:t>
      </w:r>
      <w:r w:rsidR="00E86770" w:rsidRPr="004D4C57">
        <w:rPr>
          <w:color w:val="000000" w:themeColor="text1"/>
        </w:rPr>
        <w:t xml:space="preserve"> et al., </w:t>
      </w:r>
      <w:r w:rsidR="008B067B" w:rsidRPr="004D4C57">
        <w:rPr>
          <w:color w:val="000000" w:themeColor="text1"/>
        </w:rPr>
        <w:t>200</w:t>
      </w:r>
      <w:r w:rsidR="009A5A1E" w:rsidRPr="004D4C57">
        <w:rPr>
          <w:color w:val="000000" w:themeColor="text1"/>
        </w:rPr>
        <w:t>8</w:t>
      </w:r>
      <w:r w:rsidR="00E77146" w:rsidRPr="004D4C57">
        <w:rPr>
          <w:color w:val="000000" w:themeColor="text1"/>
        </w:rPr>
        <w:t>)</w:t>
      </w:r>
      <w:r w:rsidR="00103804" w:rsidRPr="004D4C57">
        <w:rPr>
          <w:color w:val="000000" w:themeColor="text1"/>
        </w:rPr>
        <w:t xml:space="preserve"> suggests</w:t>
      </w:r>
      <w:r w:rsidR="00E77146" w:rsidRPr="004D4C57">
        <w:rPr>
          <w:color w:val="000000" w:themeColor="text1"/>
        </w:rPr>
        <w:t xml:space="preserve"> finding </w:t>
      </w:r>
      <w:r w:rsidR="002F219D" w:rsidRPr="004D4C57">
        <w:rPr>
          <w:color w:val="000000" w:themeColor="text1"/>
        </w:rPr>
        <w:t xml:space="preserve">substitutes for these </w:t>
      </w:r>
      <w:r w:rsidR="00C96D11" w:rsidRPr="004D4C57">
        <w:rPr>
          <w:color w:val="000000" w:themeColor="text1"/>
        </w:rPr>
        <w:t xml:space="preserve">mentally stimulating </w:t>
      </w:r>
      <w:r w:rsidR="00751DC9" w:rsidRPr="004D4C57">
        <w:rPr>
          <w:color w:val="000000" w:themeColor="text1"/>
        </w:rPr>
        <w:t>work</w:t>
      </w:r>
      <w:r w:rsidR="00C22E03" w:rsidRPr="004D4C57">
        <w:rPr>
          <w:color w:val="000000" w:themeColor="text1"/>
        </w:rPr>
        <w:t xml:space="preserve"> activities </w:t>
      </w:r>
      <w:r w:rsidR="00E77146" w:rsidRPr="004D4C57">
        <w:rPr>
          <w:color w:val="000000" w:themeColor="text1"/>
        </w:rPr>
        <w:t xml:space="preserve">represents </w:t>
      </w:r>
      <w:r w:rsidR="002F219D" w:rsidRPr="004D4C57">
        <w:rPr>
          <w:color w:val="000000" w:themeColor="text1"/>
        </w:rPr>
        <w:t xml:space="preserve">an important task for retirees. </w:t>
      </w:r>
      <w:r w:rsidR="00751DC9" w:rsidRPr="004D4C57">
        <w:rPr>
          <w:color w:val="000000" w:themeColor="text1"/>
        </w:rPr>
        <w:t>Individuals prone to</w:t>
      </w:r>
      <w:r w:rsidR="002E54A3" w:rsidRPr="004D4C57">
        <w:rPr>
          <w:color w:val="000000" w:themeColor="text1"/>
        </w:rPr>
        <w:t xml:space="preserve"> goal disengagement may </w:t>
      </w:r>
      <w:r w:rsidR="002177DA" w:rsidRPr="004D4C57">
        <w:rPr>
          <w:color w:val="000000" w:themeColor="text1"/>
        </w:rPr>
        <w:t>have difficulty replacing</w:t>
      </w:r>
      <w:r w:rsidR="002E54A3" w:rsidRPr="004D4C57">
        <w:rPr>
          <w:color w:val="000000" w:themeColor="text1"/>
        </w:rPr>
        <w:t xml:space="preserve"> structured </w:t>
      </w:r>
      <w:r w:rsidR="00751DC9" w:rsidRPr="004D4C57">
        <w:rPr>
          <w:color w:val="000000" w:themeColor="text1"/>
        </w:rPr>
        <w:t xml:space="preserve">work activities </w:t>
      </w:r>
      <w:r w:rsidR="002E54A3" w:rsidRPr="004D4C57">
        <w:rPr>
          <w:color w:val="000000" w:themeColor="text1"/>
        </w:rPr>
        <w:t xml:space="preserve">with new </w:t>
      </w:r>
      <w:r w:rsidR="002F219D" w:rsidRPr="004D4C57">
        <w:rPr>
          <w:color w:val="000000" w:themeColor="text1"/>
        </w:rPr>
        <w:t>mentally</w:t>
      </w:r>
      <w:r w:rsidR="003D1C15" w:rsidRPr="004D4C57">
        <w:rPr>
          <w:color w:val="000000" w:themeColor="text1"/>
        </w:rPr>
        <w:t xml:space="preserve"> stimulating activities </w:t>
      </w:r>
      <w:r w:rsidR="002E54A3" w:rsidRPr="004D4C57">
        <w:rPr>
          <w:color w:val="000000" w:themeColor="text1"/>
        </w:rPr>
        <w:t xml:space="preserve">that </w:t>
      </w:r>
      <w:r w:rsidR="002071A7" w:rsidRPr="004D4C57">
        <w:rPr>
          <w:color w:val="000000" w:themeColor="text1"/>
        </w:rPr>
        <w:t>must be</w:t>
      </w:r>
      <w:r w:rsidR="006400A4" w:rsidRPr="004D4C57">
        <w:rPr>
          <w:color w:val="000000" w:themeColor="text1"/>
        </w:rPr>
        <w:t xml:space="preserve"> self-initiated</w:t>
      </w:r>
      <w:r w:rsidR="00D57161" w:rsidRPr="004D4C57">
        <w:rPr>
          <w:color w:val="000000" w:themeColor="text1"/>
        </w:rPr>
        <w:t xml:space="preserve"> </w:t>
      </w:r>
      <w:r w:rsidR="000C0974" w:rsidRPr="004D4C57">
        <w:rPr>
          <w:color w:val="000000" w:themeColor="text1"/>
        </w:rPr>
        <w:t xml:space="preserve">and autonomously maintained </w:t>
      </w:r>
      <w:r w:rsidR="00D57161" w:rsidRPr="004D4C57">
        <w:rPr>
          <w:color w:val="000000" w:themeColor="text1"/>
        </w:rPr>
        <w:t>(</w:t>
      </w:r>
      <w:r w:rsidR="00FD6E4F" w:rsidRPr="004D4C57">
        <w:rPr>
          <w:color w:val="000000" w:themeColor="text1"/>
        </w:rPr>
        <w:t xml:space="preserve">Hamm et al., </w:t>
      </w:r>
      <w:r w:rsidR="00184B04" w:rsidRPr="004D4C57">
        <w:rPr>
          <w:color w:val="000000" w:themeColor="text1"/>
        </w:rPr>
        <w:t>2019</w:t>
      </w:r>
      <w:r w:rsidR="00D57161" w:rsidRPr="004D4C57">
        <w:rPr>
          <w:color w:val="000000" w:themeColor="text1"/>
        </w:rPr>
        <w:t>)</w:t>
      </w:r>
      <w:r w:rsidR="002E54A3" w:rsidRPr="004D4C57">
        <w:rPr>
          <w:color w:val="000000" w:themeColor="text1"/>
        </w:rPr>
        <w:t xml:space="preserve">. </w:t>
      </w:r>
      <w:r w:rsidR="00C96D11" w:rsidRPr="004D4C57">
        <w:rPr>
          <w:color w:val="000000" w:themeColor="text1"/>
        </w:rPr>
        <w:t>R</w:t>
      </w:r>
      <w:r w:rsidR="00155959" w:rsidRPr="004D4C57">
        <w:rPr>
          <w:color w:val="000000" w:themeColor="text1"/>
        </w:rPr>
        <w:t xml:space="preserve">etirement may </w:t>
      </w:r>
      <w:r w:rsidR="005B6AB5" w:rsidRPr="004D4C57">
        <w:rPr>
          <w:color w:val="000000" w:themeColor="text1"/>
        </w:rPr>
        <w:t xml:space="preserve">thus </w:t>
      </w:r>
      <w:r w:rsidR="009F2E27" w:rsidRPr="004D4C57">
        <w:rPr>
          <w:color w:val="000000" w:themeColor="text1"/>
        </w:rPr>
        <w:t>primarily</w:t>
      </w:r>
      <w:r w:rsidR="00155959" w:rsidRPr="004D4C57">
        <w:rPr>
          <w:color w:val="000000" w:themeColor="text1"/>
        </w:rPr>
        <w:t xml:space="preserve"> be associated with cognitive declines for</w:t>
      </w:r>
      <w:r w:rsidR="00373AF2" w:rsidRPr="004D4C57">
        <w:rPr>
          <w:color w:val="000000" w:themeColor="text1"/>
        </w:rPr>
        <w:t xml:space="preserve"> individuals</w:t>
      </w:r>
      <w:r w:rsidR="00155959" w:rsidRPr="004D4C57">
        <w:rPr>
          <w:color w:val="000000" w:themeColor="text1"/>
        </w:rPr>
        <w:t xml:space="preserve"> high in </w:t>
      </w:r>
      <w:r w:rsidR="00734E34" w:rsidRPr="004D4C57">
        <w:rPr>
          <w:color w:val="000000" w:themeColor="text1"/>
        </w:rPr>
        <w:t xml:space="preserve">trait-like </w:t>
      </w:r>
      <w:r w:rsidR="00155959" w:rsidRPr="004D4C57">
        <w:rPr>
          <w:color w:val="000000" w:themeColor="text1"/>
        </w:rPr>
        <w:t>goal disengagement</w:t>
      </w:r>
      <w:r w:rsidR="00801714" w:rsidRPr="004D4C57">
        <w:rPr>
          <w:color w:val="000000" w:themeColor="text1"/>
        </w:rPr>
        <w:t>,</w:t>
      </w:r>
      <w:r w:rsidR="00155959" w:rsidRPr="004D4C57">
        <w:rPr>
          <w:color w:val="000000" w:themeColor="text1"/>
        </w:rPr>
        <w:t xml:space="preserve"> who </w:t>
      </w:r>
      <w:r w:rsidR="00801714" w:rsidRPr="004D4C57">
        <w:rPr>
          <w:color w:val="000000" w:themeColor="text1"/>
        </w:rPr>
        <w:t xml:space="preserve">may </w:t>
      </w:r>
      <w:r w:rsidR="00C96D11" w:rsidRPr="004D4C57">
        <w:rPr>
          <w:color w:val="000000" w:themeColor="text1"/>
        </w:rPr>
        <w:t>not</w:t>
      </w:r>
      <w:r w:rsidR="004005CD" w:rsidRPr="004D4C57">
        <w:rPr>
          <w:color w:val="000000" w:themeColor="text1"/>
        </w:rPr>
        <w:t xml:space="preserve"> capitalize on increased opportunities for engagement</w:t>
      </w:r>
      <w:r w:rsidR="00801714" w:rsidRPr="004D4C57">
        <w:rPr>
          <w:color w:val="000000" w:themeColor="text1"/>
        </w:rPr>
        <w:t xml:space="preserve"> in retirement</w:t>
      </w:r>
      <w:r w:rsidR="00B13C1E" w:rsidRPr="004D4C57">
        <w:rPr>
          <w:color w:val="000000" w:themeColor="text1"/>
        </w:rPr>
        <w:t xml:space="preserve"> (</w:t>
      </w:r>
      <w:r w:rsidR="009B7674" w:rsidRPr="004D4C57">
        <w:rPr>
          <w:color w:val="000000" w:themeColor="text1"/>
        </w:rPr>
        <w:t xml:space="preserve">Kim &amp; Moen, 2001; </w:t>
      </w:r>
      <w:r w:rsidR="00CE41E6" w:rsidRPr="004D4C57">
        <w:rPr>
          <w:color w:val="000000" w:themeColor="text1"/>
        </w:rPr>
        <w:t>Wrosch et al., 2000</w:t>
      </w:r>
      <w:r w:rsidR="00B13C1E" w:rsidRPr="004D4C57">
        <w:rPr>
          <w:color w:val="000000" w:themeColor="text1"/>
        </w:rPr>
        <w:t>)</w:t>
      </w:r>
      <w:r w:rsidR="004005CD" w:rsidRPr="004D4C57">
        <w:rPr>
          <w:color w:val="000000" w:themeColor="text1"/>
        </w:rPr>
        <w:t>.</w:t>
      </w:r>
    </w:p>
    <w:p w14:paraId="6A0D2148" w14:textId="6847A299" w:rsidR="00645344" w:rsidRPr="004D4C57" w:rsidRDefault="00645344" w:rsidP="00645344">
      <w:pPr>
        <w:spacing w:line="480" w:lineRule="auto"/>
        <w:ind w:firstLine="720"/>
        <w:rPr>
          <w:color w:val="000000" w:themeColor="text1"/>
        </w:rPr>
      </w:pPr>
      <w:r w:rsidRPr="004D4C57">
        <w:rPr>
          <w:color w:val="000000" w:themeColor="text1"/>
        </w:rPr>
        <w:t>A potential demographic moderator that has received little attention in the literature is gender. There are well-established gender differences on central measures of cognitive functioning: Women score better on episodic memory, whereas men score better on executive functioning (</w:t>
      </w:r>
      <w:proofErr w:type="spellStart"/>
      <w:r w:rsidRPr="004D4C57">
        <w:rPr>
          <w:color w:val="000000" w:themeColor="text1"/>
        </w:rPr>
        <w:t>Asperholm</w:t>
      </w:r>
      <w:proofErr w:type="spellEnd"/>
      <w:r w:rsidRPr="004D4C57">
        <w:rPr>
          <w:color w:val="000000" w:themeColor="text1"/>
        </w:rPr>
        <w:t xml:space="preserve"> et al., in press; Lachman et al., 2014; Hughes et al., 2018). Research suggests men and women </w:t>
      </w:r>
      <w:r w:rsidR="00DA7CAF" w:rsidRPr="004D4C57">
        <w:rPr>
          <w:color w:val="000000" w:themeColor="text1"/>
        </w:rPr>
        <w:t xml:space="preserve">also </w:t>
      </w:r>
      <w:r w:rsidRPr="004D4C57">
        <w:rPr>
          <w:color w:val="000000" w:themeColor="text1"/>
        </w:rPr>
        <w:t xml:space="preserve">report differential retirement transition experiences and activities that may affect post-retirement declines in cognition. A review by Kim and Moen (2001) found that women, who typically enter retirement with fewer socioeconomic resources than men (Wang &amp; Shi, 2014), report more negative attitudes towards retirement, prepare for it less, and </w:t>
      </w:r>
      <w:r w:rsidRPr="004D4C57">
        <w:rPr>
          <w:color w:val="000000" w:themeColor="text1"/>
        </w:rPr>
        <w:lastRenderedPageBreak/>
        <w:t xml:space="preserve">experience more depressive symptoms during this transition (see also Moen et al., 2006). Gender differences in retirement leisure activities have also been observed, with women less likely to actively pursue concrete goals (Wang &amp; Shi, 2014) and men less likely to </w:t>
      </w:r>
      <w:r w:rsidRPr="004D4C57">
        <w:rPr>
          <w:color w:val="000000" w:themeColor="text1"/>
          <w:lang w:val="en-CA"/>
        </w:rPr>
        <w:t>engage in social activities (</w:t>
      </w:r>
      <w:proofErr w:type="spellStart"/>
      <w:r w:rsidRPr="004D4C57">
        <w:rPr>
          <w:color w:val="000000" w:themeColor="text1"/>
          <w:lang w:val="en-CA"/>
        </w:rPr>
        <w:t>Kubicek</w:t>
      </w:r>
      <w:proofErr w:type="spellEnd"/>
      <w:r w:rsidRPr="004D4C57">
        <w:rPr>
          <w:color w:val="000000" w:themeColor="text1"/>
          <w:lang w:val="en-CA"/>
        </w:rPr>
        <w:t xml:space="preserve"> et al., 2011; </w:t>
      </w:r>
      <w:proofErr w:type="spellStart"/>
      <w:r w:rsidRPr="004D4C57">
        <w:rPr>
          <w:color w:val="000000" w:themeColor="text1"/>
          <w:lang w:val="en-CA"/>
        </w:rPr>
        <w:t>Scherger</w:t>
      </w:r>
      <w:proofErr w:type="spellEnd"/>
      <w:r w:rsidRPr="004D4C57">
        <w:rPr>
          <w:color w:val="000000" w:themeColor="text1"/>
          <w:lang w:val="en-CA"/>
        </w:rPr>
        <w:t xml:space="preserve"> et al., 2011)</w:t>
      </w:r>
      <w:r w:rsidRPr="004D4C57">
        <w:rPr>
          <w:color w:val="000000" w:themeColor="text1"/>
        </w:rPr>
        <w:t>. Recent evidence suggests such leisure activities exhibit gender-dependent associations with cognitive declines in old age, prompting recommendations to examine differences between men and women in cognitive aging research (</w:t>
      </w:r>
      <w:proofErr w:type="spellStart"/>
      <w:r w:rsidRPr="004D4C57">
        <w:rPr>
          <w:color w:val="000000" w:themeColor="text1"/>
        </w:rPr>
        <w:t>Hassing</w:t>
      </w:r>
      <w:proofErr w:type="spellEnd"/>
      <w:r w:rsidRPr="004D4C57">
        <w:rPr>
          <w:color w:val="000000" w:themeColor="text1"/>
        </w:rPr>
        <w:t>, 2020). Our study thus explored whether gender further moderated the association between retirement and cognitive decline. However, we did not make predictions concerning the direction of this moderated effect because it remains unclear whether men or women</w:t>
      </w:r>
      <w:r w:rsidR="00B95903" w:rsidRPr="004D4C57">
        <w:rPr>
          <w:color w:val="000000" w:themeColor="text1"/>
        </w:rPr>
        <w:t>’s cognitive functioning</w:t>
      </w:r>
      <w:r w:rsidRPr="004D4C57">
        <w:rPr>
          <w:color w:val="000000" w:themeColor="text1"/>
        </w:rPr>
        <w:t xml:space="preserve"> should be more affected by the retirement transition.</w:t>
      </w:r>
      <w:r w:rsidRPr="004D4C57">
        <w:rPr>
          <w:rStyle w:val="FootnoteReference"/>
          <w:color w:val="000000" w:themeColor="text1"/>
        </w:rPr>
        <w:footnoteReference w:id="2"/>
      </w:r>
      <w:r w:rsidRPr="004D4C57">
        <w:rPr>
          <w:color w:val="000000" w:themeColor="text1"/>
        </w:rPr>
        <w:t xml:space="preserve"> </w:t>
      </w:r>
    </w:p>
    <w:p w14:paraId="4617E8D1" w14:textId="09B51700" w:rsidR="009F006B" w:rsidRPr="004D4C57" w:rsidRDefault="009F006B" w:rsidP="004F6BD3">
      <w:pPr>
        <w:spacing w:line="480" w:lineRule="auto"/>
        <w:rPr>
          <w:b/>
          <w:color w:val="000000" w:themeColor="text1"/>
        </w:rPr>
      </w:pPr>
      <w:r w:rsidRPr="004D4C57">
        <w:rPr>
          <w:b/>
          <w:color w:val="000000" w:themeColor="text1"/>
        </w:rPr>
        <w:t>The Present Study</w:t>
      </w:r>
    </w:p>
    <w:p w14:paraId="33567A2F" w14:textId="616A8895" w:rsidR="004B1D82" w:rsidRPr="004D4C57" w:rsidRDefault="009F5205" w:rsidP="00B80E2B">
      <w:pPr>
        <w:pStyle w:val="CommentText"/>
        <w:spacing w:line="480" w:lineRule="auto"/>
        <w:ind w:firstLine="720"/>
        <w:rPr>
          <w:color w:val="000000" w:themeColor="text1"/>
          <w:szCs w:val="24"/>
          <w:lang w:val="en-CA"/>
        </w:rPr>
      </w:pPr>
      <w:r w:rsidRPr="004D4C57">
        <w:rPr>
          <w:color w:val="000000" w:themeColor="text1"/>
          <w:sz w:val="24"/>
          <w:szCs w:val="24"/>
        </w:rPr>
        <w:t>The p</w:t>
      </w:r>
      <w:r w:rsidR="00A709F9" w:rsidRPr="004D4C57">
        <w:rPr>
          <w:color w:val="000000" w:themeColor="text1"/>
          <w:sz w:val="24"/>
          <w:szCs w:val="24"/>
        </w:rPr>
        <w:t xml:space="preserve">resent study used </w:t>
      </w:r>
      <w:r w:rsidR="000A0597" w:rsidRPr="004D4C57">
        <w:rPr>
          <w:color w:val="000000" w:themeColor="text1"/>
          <w:sz w:val="24"/>
          <w:szCs w:val="24"/>
        </w:rPr>
        <w:t>nine</w:t>
      </w:r>
      <w:r w:rsidR="00A709F9" w:rsidRPr="004D4C57">
        <w:rPr>
          <w:color w:val="000000" w:themeColor="text1"/>
          <w:sz w:val="24"/>
          <w:szCs w:val="24"/>
        </w:rPr>
        <w:t xml:space="preserve">-year </w:t>
      </w:r>
      <w:r w:rsidR="000307D8" w:rsidRPr="004D4C57">
        <w:rPr>
          <w:color w:val="000000" w:themeColor="text1"/>
          <w:sz w:val="24"/>
          <w:szCs w:val="24"/>
        </w:rPr>
        <w:t xml:space="preserve">(two-occasion) </w:t>
      </w:r>
      <w:r w:rsidR="00A709F9" w:rsidRPr="004D4C57">
        <w:rPr>
          <w:color w:val="000000" w:themeColor="text1"/>
          <w:sz w:val="24"/>
          <w:szCs w:val="24"/>
        </w:rPr>
        <w:t xml:space="preserve">data from MIDUS to </w:t>
      </w:r>
      <w:r w:rsidR="005005B1" w:rsidRPr="004D4C57">
        <w:rPr>
          <w:color w:val="000000" w:themeColor="text1"/>
          <w:sz w:val="24"/>
          <w:szCs w:val="24"/>
        </w:rPr>
        <w:t xml:space="preserve">examine whether </w:t>
      </w:r>
      <w:r w:rsidR="005005B1" w:rsidRPr="004D4C57">
        <w:rPr>
          <w:color w:val="000000" w:themeColor="text1"/>
          <w:sz w:val="24"/>
          <w:szCs w:val="24"/>
          <w:lang w:val="en-CA"/>
        </w:rPr>
        <w:t>goal disengagement</w:t>
      </w:r>
      <w:r w:rsidR="006409DB" w:rsidRPr="004D4C57">
        <w:rPr>
          <w:color w:val="000000" w:themeColor="text1"/>
          <w:sz w:val="24"/>
          <w:szCs w:val="24"/>
          <w:lang w:val="en-CA"/>
        </w:rPr>
        <w:t xml:space="preserve"> </w:t>
      </w:r>
      <w:r w:rsidR="005005B1" w:rsidRPr="004D4C57">
        <w:rPr>
          <w:color w:val="000000" w:themeColor="text1"/>
          <w:sz w:val="24"/>
          <w:szCs w:val="24"/>
          <w:lang w:val="en-CA"/>
        </w:rPr>
        <w:t xml:space="preserve">moderated previously observed differences in longitudinal cognitive functioning between those who </w:t>
      </w:r>
      <w:r w:rsidR="005005B1" w:rsidRPr="004D4C57">
        <w:rPr>
          <w:color w:val="000000" w:themeColor="text1"/>
          <w:sz w:val="24"/>
          <w:szCs w:val="24"/>
        </w:rPr>
        <w:t xml:space="preserve">retire and </w:t>
      </w:r>
      <w:r w:rsidR="009F020E" w:rsidRPr="004D4C57">
        <w:rPr>
          <w:color w:val="000000" w:themeColor="text1"/>
          <w:sz w:val="24"/>
          <w:szCs w:val="24"/>
        </w:rPr>
        <w:t xml:space="preserve">those </w:t>
      </w:r>
      <w:r w:rsidR="005005B1" w:rsidRPr="004D4C57">
        <w:rPr>
          <w:color w:val="000000" w:themeColor="text1"/>
          <w:sz w:val="24"/>
          <w:szCs w:val="24"/>
        </w:rPr>
        <w:t>who remain employed</w:t>
      </w:r>
      <w:r w:rsidR="00450A96" w:rsidRPr="004D4C57">
        <w:rPr>
          <w:color w:val="000000" w:themeColor="text1"/>
          <w:sz w:val="24"/>
          <w:szCs w:val="24"/>
        </w:rPr>
        <w:t xml:space="preserve">. </w:t>
      </w:r>
      <w:r w:rsidR="00450A96" w:rsidRPr="004D4C57">
        <w:rPr>
          <w:color w:val="000000" w:themeColor="text1"/>
          <w:sz w:val="24"/>
          <w:szCs w:val="24"/>
          <w:lang w:val="en-CA"/>
        </w:rPr>
        <w:t>W</w:t>
      </w:r>
      <w:r w:rsidR="00AC23C4" w:rsidRPr="004D4C57">
        <w:rPr>
          <w:color w:val="000000" w:themeColor="text1"/>
          <w:sz w:val="24"/>
          <w:szCs w:val="24"/>
          <w:lang w:val="en-CA"/>
        </w:rPr>
        <w:t xml:space="preserve">e expected </w:t>
      </w:r>
      <w:r w:rsidR="008E5093" w:rsidRPr="004D4C57">
        <w:rPr>
          <w:color w:val="000000" w:themeColor="text1"/>
          <w:sz w:val="24"/>
          <w:szCs w:val="24"/>
          <w:lang w:val="en-CA"/>
        </w:rPr>
        <w:t xml:space="preserve">retiring </w:t>
      </w:r>
      <w:r w:rsidR="00AC23C4" w:rsidRPr="004D4C57">
        <w:rPr>
          <w:color w:val="000000" w:themeColor="text1"/>
          <w:sz w:val="24"/>
          <w:szCs w:val="24"/>
          <w:lang w:val="en-CA"/>
        </w:rPr>
        <w:t xml:space="preserve">would </w:t>
      </w:r>
      <w:r w:rsidR="00083420" w:rsidRPr="004D4C57">
        <w:rPr>
          <w:color w:val="000000" w:themeColor="text1"/>
          <w:sz w:val="24"/>
          <w:szCs w:val="24"/>
          <w:lang w:val="en-CA"/>
        </w:rPr>
        <w:t xml:space="preserve">predict </w:t>
      </w:r>
      <w:r w:rsidR="008E5093" w:rsidRPr="004D4C57">
        <w:rPr>
          <w:color w:val="000000" w:themeColor="text1"/>
          <w:sz w:val="24"/>
          <w:szCs w:val="24"/>
          <w:lang w:val="en-CA"/>
        </w:rPr>
        <w:t xml:space="preserve">increased </w:t>
      </w:r>
      <w:r w:rsidR="00AC23C4" w:rsidRPr="004D4C57">
        <w:rPr>
          <w:color w:val="000000" w:themeColor="text1"/>
          <w:sz w:val="24"/>
          <w:szCs w:val="24"/>
          <w:lang w:val="en-CA"/>
        </w:rPr>
        <w:t>cognitive decline</w:t>
      </w:r>
      <w:r w:rsidR="008E5093" w:rsidRPr="004D4C57">
        <w:rPr>
          <w:color w:val="000000" w:themeColor="text1"/>
          <w:sz w:val="24"/>
          <w:szCs w:val="24"/>
          <w:lang w:val="en-CA"/>
        </w:rPr>
        <w:t>s</w:t>
      </w:r>
      <w:r w:rsidR="00AC23C4" w:rsidRPr="004D4C57">
        <w:rPr>
          <w:color w:val="000000" w:themeColor="text1"/>
          <w:sz w:val="24"/>
          <w:szCs w:val="24"/>
          <w:lang w:val="en-CA"/>
        </w:rPr>
        <w:t xml:space="preserve"> for </w:t>
      </w:r>
      <w:r w:rsidR="00CA6E12" w:rsidRPr="004D4C57">
        <w:rPr>
          <w:color w:val="000000" w:themeColor="text1"/>
          <w:sz w:val="24"/>
          <w:szCs w:val="24"/>
          <w:lang w:val="en-CA"/>
        </w:rPr>
        <w:t xml:space="preserve">only </w:t>
      </w:r>
      <w:r w:rsidR="004767A0" w:rsidRPr="004D4C57">
        <w:rPr>
          <w:color w:val="000000" w:themeColor="text1"/>
          <w:sz w:val="24"/>
          <w:szCs w:val="24"/>
          <w:lang w:val="en-CA"/>
        </w:rPr>
        <w:t xml:space="preserve">individuals </w:t>
      </w:r>
      <w:r w:rsidR="00AC23C4" w:rsidRPr="004D4C57">
        <w:rPr>
          <w:color w:val="000000" w:themeColor="text1"/>
          <w:sz w:val="24"/>
          <w:szCs w:val="24"/>
          <w:lang w:val="en-CA"/>
        </w:rPr>
        <w:t xml:space="preserve">prone to goal disengagement who may lack </w:t>
      </w:r>
      <w:r w:rsidR="00930E88" w:rsidRPr="004D4C57">
        <w:rPr>
          <w:color w:val="000000" w:themeColor="text1"/>
          <w:sz w:val="24"/>
          <w:szCs w:val="24"/>
          <w:lang w:val="en-CA"/>
        </w:rPr>
        <w:t xml:space="preserve">the </w:t>
      </w:r>
      <w:r w:rsidR="00AC23C4" w:rsidRPr="004D4C57">
        <w:rPr>
          <w:color w:val="000000" w:themeColor="text1"/>
          <w:sz w:val="24"/>
          <w:szCs w:val="24"/>
          <w:lang w:val="en-CA"/>
        </w:rPr>
        <w:t xml:space="preserve">motivational resources </w:t>
      </w:r>
      <w:r w:rsidR="00FC01EF" w:rsidRPr="004D4C57">
        <w:rPr>
          <w:color w:val="000000" w:themeColor="text1"/>
          <w:sz w:val="24"/>
          <w:szCs w:val="24"/>
          <w:lang w:val="en-CA"/>
        </w:rPr>
        <w:t xml:space="preserve">needed </w:t>
      </w:r>
      <w:r w:rsidR="00AC23C4" w:rsidRPr="004D4C57">
        <w:rPr>
          <w:color w:val="000000" w:themeColor="text1"/>
          <w:sz w:val="24"/>
          <w:szCs w:val="24"/>
          <w:lang w:val="en-CA"/>
        </w:rPr>
        <w:t>to replace work tasks with new cognitively stimulating activities</w:t>
      </w:r>
      <w:r w:rsidR="000A0597" w:rsidRPr="004D4C57">
        <w:rPr>
          <w:color w:val="000000" w:themeColor="text1"/>
          <w:sz w:val="24"/>
          <w:szCs w:val="24"/>
          <w:lang w:val="en-CA"/>
        </w:rPr>
        <w:t xml:space="preserve"> (</w:t>
      </w:r>
      <w:r w:rsidR="00BE2CAA" w:rsidRPr="004D4C57">
        <w:rPr>
          <w:color w:val="000000" w:themeColor="text1"/>
          <w:sz w:val="24"/>
          <w:szCs w:val="24"/>
          <w:lang w:val="en-CA"/>
        </w:rPr>
        <w:t xml:space="preserve">Hamm et al., </w:t>
      </w:r>
      <w:r w:rsidR="00184B04" w:rsidRPr="004D4C57">
        <w:rPr>
          <w:color w:val="000000" w:themeColor="text1"/>
          <w:sz w:val="24"/>
          <w:szCs w:val="24"/>
          <w:lang w:val="en-CA"/>
        </w:rPr>
        <w:t>2019</w:t>
      </w:r>
      <w:r w:rsidR="00BE2CAA" w:rsidRPr="004D4C57">
        <w:rPr>
          <w:color w:val="000000" w:themeColor="text1"/>
          <w:sz w:val="24"/>
          <w:szCs w:val="24"/>
          <w:lang w:val="en-CA"/>
        </w:rPr>
        <w:t xml:space="preserve">; </w:t>
      </w:r>
      <w:proofErr w:type="spellStart"/>
      <w:r w:rsidR="00BE2CAA" w:rsidRPr="004D4C57">
        <w:rPr>
          <w:color w:val="000000" w:themeColor="text1"/>
          <w:sz w:val="24"/>
          <w:szCs w:val="24"/>
          <w:lang w:val="en-CA"/>
        </w:rPr>
        <w:t>Wrosch</w:t>
      </w:r>
      <w:proofErr w:type="spellEnd"/>
      <w:r w:rsidR="00BE2CAA" w:rsidRPr="004D4C57">
        <w:rPr>
          <w:color w:val="000000" w:themeColor="text1"/>
          <w:sz w:val="24"/>
          <w:szCs w:val="24"/>
          <w:lang w:val="en-CA"/>
        </w:rPr>
        <w:t xml:space="preserve"> et al., 2000</w:t>
      </w:r>
      <w:r w:rsidR="000A0597" w:rsidRPr="004D4C57">
        <w:rPr>
          <w:color w:val="000000" w:themeColor="text1"/>
          <w:sz w:val="24"/>
          <w:szCs w:val="24"/>
          <w:lang w:val="en-CA"/>
        </w:rPr>
        <w:t>)</w:t>
      </w:r>
      <w:r w:rsidR="00AC23C4" w:rsidRPr="004D4C57">
        <w:rPr>
          <w:color w:val="000000" w:themeColor="text1"/>
          <w:sz w:val="24"/>
          <w:szCs w:val="24"/>
          <w:lang w:val="en-CA"/>
        </w:rPr>
        <w:t>.</w:t>
      </w:r>
      <w:r w:rsidR="00E1225E" w:rsidRPr="004D4C57">
        <w:rPr>
          <w:color w:val="000000" w:themeColor="text1"/>
          <w:sz w:val="24"/>
          <w:szCs w:val="24"/>
          <w:lang w:val="en-CA"/>
        </w:rPr>
        <w:t xml:space="preserve"> </w:t>
      </w:r>
      <w:r w:rsidR="00E67811" w:rsidRPr="004D4C57">
        <w:rPr>
          <w:color w:val="000000" w:themeColor="text1"/>
          <w:sz w:val="24"/>
          <w:szCs w:val="24"/>
          <w:lang w:val="en-CA"/>
        </w:rPr>
        <w:t xml:space="preserve">We explored whether gender </w:t>
      </w:r>
      <w:r w:rsidR="007A608C" w:rsidRPr="004D4C57">
        <w:rPr>
          <w:color w:val="000000" w:themeColor="text1"/>
          <w:sz w:val="24"/>
          <w:szCs w:val="24"/>
          <w:lang w:val="en-CA"/>
        </w:rPr>
        <w:t xml:space="preserve">further </w:t>
      </w:r>
      <w:r w:rsidR="00E67811" w:rsidRPr="004D4C57">
        <w:rPr>
          <w:color w:val="000000" w:themeColor="text1"/>
          <w:sz w:val="24"/>
          <w:szCs w:val="24"/>
          <w:lang w:val="en-CA"/>
        </w:rPr>
        <w:t xml:space="preserve">moderated </w:t>
      </w:r>
      <w:r w:rsidR="007A608C" w:rsidRPr="004D4C57">
        <w:rPr>
          <w:color w:val="000000" w:themeColor="text1"/>
          <w:sz w:val="24"/>
          <w:szCs w:val="24"/>
          <w:lang w:val="en-CA"/>
        </w:rPr>
        <w:t xml:space="preserve">these effects </w:t>
      </w:r>
      <w:r w:rsidR="00E1225E" w:rsidRPr="004D4C57">
        <w:rPr>
          <w:color w:val="000000" w:themeColor="text1"/>
          <w:sz w:val="24"/>
          <w:szCs w:val="24"/>
          <w:lang w:val="en-CA"/>
        </w:rPr>
        <w:t xml:space="preserve">based on </w:t>
      </w:r>
      <w:r w:rsidR="00A63648" w:rsidRPr="004D4C57">
        <w:rPr>
          <w:color w:val="000000" w:themeColor="text1"/>
          <w:sz w:val="24"/>
          <w:szCs w:val="24"/>
          <w:lang w:val="en-CA"/>
        </w:rPr>
        <w:t xml:space="preserve">the cognitive </w:t>
      </w:r>
      <w:r w:rsidR="005C418B" w:rsidRPr="004D4C57">
        <w:rPr>
          <w:color w:val="000000" w:themeColor="text1"/>
          <w:sz w:val="24"/>
          <w:szCs w:val="24"/>
          <w:lang w:val="en-CA"/>
        </w:rPr>
        <w:t>functioning</w:t>
      </w:r>
      <w:r w:rsidR="00A63648" w:rsidRPr="004D4C57">
        <w:rPr>
          <w:color w:val="000000" w:themeColor="text1"/>
          <w:sz w:val="24"/>
          <w:szCs w:val="24"/>
          <w:lang w:val="en-CA"/>
        </w:rPr>
        <w:t xml:space="preserve"> and retirement literatures</w:t>
      </w:r>
      <w:r w:rsidR="006C5A35" w:rsidRPr="004D4C57">
        <w:rPr>
          <w:color w:val="000000" w:themeColor="text1"/>
          <w:sz w:val="24"/>
          <w:szCs w:val="24"/>
          <w:lang w:val="en-CA"/>
        </w:rPr>
        <w:t>,</w:t>
      </w:r>
      <w:r w:rsidR="00A63648" w:rsidRPr="004D4C57">
        <w:rPr>
          <w:color w:val="000000" w:themeColor="text1"/>
          <w:sz w:val="24"/>
          <w:szCs w:val="24"/>
          <w:lang w:val="en-CA"/>
        </w:rPr>
        <w:t xml:space="preserve"> which have documented </w:t>
      </w:r>
      <w:r w:rsidR="00E1225E" w:rsidRPr="004D4C57">
        <w:rPr>
          <w:color w:val="000000" w:themeColor="text1"/>
          <w:sz w:val="24"/>
          <w:szCs w:val="24"/>
          <w:lang w:val="en-CA"/>
        </w:rPr>
        <w:t xml:space="preserve">differences between men and women in </w:t>
      </w:r>
      <w:r w:rsidR="005C418B" w:rsidRPr="004D4C57">
        <w:rPr>
          <w:color w:val="000000" w:themeColor="text1"/>
          <w:sz w:val="24"/>
          <w:szCs w:val="24"/>
          <w:lang w:val="en-CA"/>
        </w:rPr>
        <w:t>cognition</w:t>
      </w:r>
      <w:r w:rsidR="008C3CCD" w:rsidRPr="004D4C57">
        <w:rPr>
          <w:color w:val="000000" w:themeColor="text1"/>
          <w:sz w:val="24"/>
          <w:szCs w:val="24"/>
          <w:lang w:val="en-CA"/>
        </w:rPr>
        <w:t>, socioeconomic resources,</w:t>
      </w:r>
      <w:r w:rsidR="00122C2F" w:rsidRPr="004D4C57">
        <w:rPr>
          <w:color w:val="000000" w:themeColor="text1"/>
          <w:sz w:val="24"/>
          <w:szCs w:val="24"/>
          <w:lang w:val="en-CA"/>
        </w:rPr>
        <w:t xml:space="preserve"> and </w:t>
      </w:r>
      <w:r w:rsidR="0069507A" w:rsidRPr="004D4C57">
        <w:rPr>
          <w:color w:val="000000" w:themeColor="text1"/>
          <w:sz w:val="24"/>
          <w:szCs w:val="24"/>
          <w:lang w:val="en-CA"/>
        </w:rPr>
        <w:t xml:space="preserve">the </w:t>
      </w:r>
      <w:r w:rsidR="00E1225E" w:rsidRPr="004D4C57">
        <w:rPr>
          <w:color w:val="000000" w:themeColor="text1"/>
          <w:sz w:val="24"/>
          <w:szCs w:val="24"/>
          <w:lang w:val="en-CA"/>
        </w:rPr>
        <w:t xml:space="preserve">retirement </w:t>
      </w:r>
      <w:r w:rsidR="008E5093" w:rsidRPr="004D4C57">
        <w:rPr>
          <w:color w:val="000000" w:themeColor="text1"/>
          <w:sz w:val="24"/>
          <w:szCs w:val="24"/>
          <w:lang w:val="en-CA"/>
        </w:rPr>
        <w:t xml:space="preserve">transition </w:t>
      </w:r>
      <w:r w:rsidR="00E1225E" w:rsidRPr="004D4C57">
        <w:rPr>
          <w:color w:val="000000" w:themeColor="text1"/>
          <w:sz w:val="24"/>
          <w:szCs w:val="24"/>
          <w:lang w:val="en-CA"/>
        </w:rPr>
        <w:t>experience</w:t>
      </w:r>
      <w:r w:rsidR="004B1D82" w:rsidRPr="004D4C57">
        <w:rPr>
          <w:color w:val="000000" w:themeColor="text1"/>
          <w:sz w:val="24"/>
          <w:szCs w:val="24"/>
          <w:lang w:val="en-CA"/>
        </w:rPr>
        <w:t xml:space="preserve"> (Hughes et al., 2018; Wang &amp; Shi, 2014)</w:t>
      </w:r>
      <w:r w:rsidR="00E1225E" w:rsidRPr="004D4C57">
        <w:rPr>
          <w:color w:val="000000" w:themeColor="text1"/>
          <w:sz w:val="24"/>
          <w:szCs w:val="24"/>
          <w:lang w:val="en-CA"/>
        </w:rPr>
        <w:t>.</w:t>
      </w:r>
      <w:r w:rsidR="00E758E6" w:rsidRPr="004D4C57">
        <w:rPr>
          <w:color w:val="000000" w:themeColor="text1"/>
          <w:sz w:val="24"/>
          <w:szCs w:val="24"/>
          <w:lang w:val="en-CA"/>
        </w:rPr>
        <w:t xml:space="preserve"> </w:t>
      </w:r>
    </w:p>
    <w:p w14:paraId="508BC693" w14:textId="7D6EAF6D" w:rsidR="00450A96" w:rsidRPr="004D4C57" w:rsidRDefault="004B1D82" w:rsidP="005B3473">
      <w:pPr>
        <w:spacing w:line="480" w:lineRule="auto"/>
        <w:ind w:firstLine="720"/>
        <w:rPr>
          <w:color w:val="000000" w:themeColor="text1"/>
          <w:lang w:val="en-CA"/>
        </w:rPr>
      </w:pPr>
      <w:r w:rsidRPr="004D4C57">
        <w:rPr>
          <w:color w:val="000000" w:themeColor="text1"/>
          <w:lang w:val="en-CA"/>
        </w:rPr>
        <w:lastRenderedPageBreak/>
        <w:t xml:space="preserve">Few studies have examined gender as a moderator of the association between retirement and </w:t>
      </w:r>
      <w:r w:rsidR="006409DB" w:rsidRPr="004D4C57">
        <w:rPr>
          <w:color w:val="000000" w:themeColor="text1"/>
          <w:lang w:val="en-CA"/>
        </w:rPr>
        <w:t>cognition</w:t>
      </w:r>
      <w:r w:rsidRPr="004D4C57">
        <w:rPr>
          <w:color w:val="000000" w:themeColor="text1"/>
          <w:lang w:val="en-CA"/>
        </w:rPr>
        <w:t xml:space="preserve">, and it is </w:t>
      </w:r>
      <w:r w:rsidR="00F00535" w:rsidRPr="004D4C57">
        <w:rPr>
          <w:color w:val="000000" w:themeColor="text1"/>
          <w:lang w:val="en-CA"/>
        </w:rPr>
        <w:t xml:space="preserve">unknown </w:t>
      </w:r>
      <w:r w:rsidRPr="004D4C57">
        <w:rPr>
          <w:color w:val="000000" w:themeColor="text1"/>
          <w:lang w:val="en-CA"/>
        </w:rPr>
        <w:t xml:space="preserve">whether retiring </w:t>
      </w:r>
      <w:r w:rsidR="007A608C" w:rsidRPr="004D4C57">
        <w:rPr>
          <w:color w:val="000000" w:themeColor="text1"/>
          <w:lang w:val="en-CA"/>
        </w:rPr>
        <w:t xml:space="preserve">might </w:t>
      </w:r>
      <w:r w:rsidRPr="004D4C57">
        <w:rPr>
          <w:color w:val="000000" w:themeColor="text1"/>
          <w:lang w:val="en-CA"/>
        </w:rPr>
        <w:t xml:space="preserve">be more detrimental for men or women prone to goal disengagement. On </w:t>
      </w:r>
      <w:r w:rsidR="00D71B18" w:rsidRPr="004D4C57">
        <w:rPr>
          <w:color w:val="000000" w:themeColor="text1"/>
          <w:lang w:val="en-CA"/>
        </w:rPr>
        <w:t xml:space="preserve">the </w:t>
      </w:r>
      <w:r w:rsidRPr="004D4C57">
        <w:rPr>
          <w:color w:val="000000" w:themeColor="text1"/>
          <w:lang w:val="en-CA"/>
        </w:rPr>
        <w:t xml:space="preserve">one hand, retiring </w:t>
      </w:r>
      <w:r w:rsidR="007A608C" w:rsidRPr="004D4C57">
        <w:rPr>
          <w:color w:val="000000" w:themeColor="text1"/>
          <w:lang w:val="en-CA"/>
        </w:rPr>
        <w:t xml:space="preserve">could </w:t>
      </w:r>
      <w:r w:rsidRPr="004D4C57">
        <w:rPr>
          <w:color w:val="000000" w:themeColor="text1"/>
          <w:lang w:val="en-CA"/>
        </w:rPr>
        <w:t xml:space="preserve">be more maladaptive for men </w:t>
      </w:r>
      <w:r w:rsidR="00B342C2" w:rsidRPr="004D4C57">
        <w:rPr>
          <w:color w:val="000000" w:themeColor="text1"/>
          <w:lang w:val="en-CA"/>
        </w:rPr>
        <w:t>high in</w:t>
      </w:r>
      <w:r w:rsidRPr="004D4C57">
        <w:rPr>
          <w:color w:val="000000" w:themeColor="text1"/>
          <w:lang w:val="en-CA"/>
        </w:rPr>
        <w:t xml:space="preserve"> goal disengagement </w:t>
      </w:r>
      <w:r w:rsidR="00791984" w:rsidRPr="004D4C57">
        <w:rPr>
          <w:color w:val="000000" w:themeColor="text1"/>
          <w:lang w:val="en-CA"/>
        </w:rPr>
        <w:t xml:space="preserve">who </w:t>
      </w:r>
      <w:r w:rsidR="000D72A7" w:rsidRPr="004D4C57">
        <w:rPr>
          <w:color w:val="000000" w:themeColor="text1"/>
          <w:lang w:val="en-CA"/>
        </w:rPr>
        <w:t>pursue</w:t>
      </w:r>
      <w:r w:rsidR="006D7A17" w:rsidRPr="004D4C57">
        <w:rPr>
          <w:color w:val="000000" w:themeColor="text1"/>
          <w:lang w:val="en-CA"/>
        </w:rPr>
        <w:t xml:space="preserve"> </w:t>
      </w:r>
      <w:r w:rsidR="00677486" w:rsidRPr="004D4C57">
        <w:rPr>
          <w:color w:val="000000" w:themeColor="text1"/>
          <w:lang w:val="en-CA"/>
        </w:rPr>
        <w:t xml:space="preserve">fewer </w:t>
      </w:r>
      <w:r w:rsidR="006409DB" w:rsidRPr="004D4C57">
        <w:rPr>
          <w:color w:val="000000" w:themeColor="text1"/>
          <w:lang w:val="en-CA"/>
        </w:rPr>
        <w:t xml:space="preserve">post-retirement </w:t>
      </w:r>
      <w:r w:rsidR="006D7A17" w:rsidRPr="004D4C57">
        <w:rPr>
          <w:color w:val="000000" w:themeColor="text1"/>
          <w:lang w:val="en-CA"/>
        </w:rPr>
        <w:t>cultural or social activities</w:t>
      </w:r>
      <w:r w:rsidR="00231ED3" w:rsidRPr="004D4C57">
        <w:rPr>
          <w:color w:val="000000" w:themeColor="text1"/>
          <w:lang w:val="en-CA"/>
        </w:rPr>
        <w:t xml:space="preserve">, which could </w:t>
      </w:r>
      <w:r w:rsidR="006409DB" w:rsidRPr="004D4C57">
        <w:rPr>
          <w:color w:val="000000" w:themeColor="text1"/>
          <w:lang w:val="en-CA"/>
        </w:rPr>
        <w:t xml:space="preserve">undermine </w:t>
      </w:r>
      <w:r w:rsidR="00231ED3" w:rsidRPr="004D4C57">
        <w:rPr>
          <w:color w:val="000000" w:themeColor="text1"/>
          <w:lang w:val="en-CA"/>
        </w:rPr>
        <w:t xml:space="preserve">cognitive functioning </w:t>
      </w:r>
      <w:r w:rsidR="00791984" w:rsidRPr="004D4C57">
        <w:rPr>
          <w:color w:val="000000" w:themeColor="text1"/>
          <w:lang w:val="en-CA"/>
        </w:rPr>
        <w:t>(</w:t>
      </w:r>
      <w:proofErr w:type="spellStart"/>
      <w:r w:rsidR="00791984" w:rsidRPr="004D4C57">
        <w:rPr>
          <w:color w:val="000000" w:themeColor="text1"/>
          <w:lang w:val="en-CA"/>
        </w:rPr>
        <w:t>Kubicek</w:t>
      </w:r>
      <w:proofErr w:type="spellEnd"/>
      <w:r w:rsidR="00C478B8" w:rsidRPr="004D4C57">
        <w:rPr>
          <w:color w:val="000000" w:themeColor="text1"/>
          <w:lang w:val="en-CA"/>
        </w:rPr>
        <w:t xml:space="preserve"> et al.</w:t>
      </w:r>
      <w:r w:rsidR="00791984" w:rsidRPr="004D4C57">
        <w:rPr>
          <w:color w:val="000000" w:themeColor="text1"/>
          <w:lang w:val="en-CA"/>
        </w:rPr>
        <w:t>, 2011</w:t>
      </w:r>
      <w:r w:rsidR="006D7A17" w:rsidRPr="004D4C57">
        <w:rPr>
          <w:color w:val="000000" w:themeColor="text1"/>
          <w:lang w:val="en-CA"/>
        </w:rPr>
        <w:t xml:space="preserve">; </w:t>
      </w:r>
      <w:proofErr w:type="spellStart"/>
      <w:r w:rsidR="006D7A17" w:rsidRPr="004D4C57">
        <w:rPr>
          <w:color w:val="000000" w:themeColor="text1"/>
          <w:lang w:val="en-CA"/>
        </w:rPr>
        <w:t>Scherger</w:t>
      </w:r>
      <w:proofErr w:type="spellEnd"/>
      <w:r w:rsidR="00C478B8" w:rsidRPr="004D4C57">
        <w:rPr>
          <w:color w:val="000000" w:themeColor="text1"/>
          <w:lang w:val="en-CA"/>
        </w:rPr>
        <w:t xml:space="preserve"> et al., </w:t>
      </w:r>
      <w:r w:rsidR="006D7A17" w:rsidRPr="004D4C57">
        <w:rPr>
          <w:color w:val="000000" w:themeColor="text1"/>
          <w:lang w:val="en-CA"/>
        </w:rPr>
        <w:t>2011</w:t>
      </w:r>
      <w:r w:rsidR="00791984" w:rsidRPr="004D4C57">
        <w:rPr>
          <w:color w:val="000000" w:themeColor="text1"/>
          <w:lang w:val="en-CA"/>
        </w:rPr>
        <w:t xml:space="preserve">). </w:t>
      </w:r>
      <w:r w:rsidRPr="004D4C57">
        <w:rPr>
          <w:color w:val="000000" w:themeColor="text1"/>
          <w:lang w:val="en-CA"/>
        </w:rPr>
        <w:t xml:space="preserve">On </w:t>
      </w:r>
      <w:r w:rsidR="006C5865" w:rsidRPr="004D4C57">
        <w:rPr>
          <w:color w:val="000000" w:themeColor="text1"/>
          <w:lang w:val="en-CA"/>
        </w:rPr>
        <w:t xml:space="preserve">the other hand, retiring could be most detrimental for women prone to goal disengagement. </w:t>
      </w:r>
      <w:r w:rsidR="00D71B18" w:rsidRPr="004D4C57">
        <w:rPr>
          <w:color w:val="000000" w:themeColor="text1"/>
          <w:lang w:val="en-CA"/>
        </w:rPr>
        <w:t xml:space="preserve">Female retirees high in goal disengagement </w:t>
      </w:r>
      <w:r w:rsidR="006C5865" w:rsidRPr="004D4C57">
        <w:rPr>
          <w:color w:val="000000" w:themeColor="text1"/>
          <w:lang w:val="en-CA"/>
        </w:rPr>
        <w:t xml:space="preserve">may </w:t>
      </w:r>
      <w:r w:rsidR="00B342C2" w:rsidRPr="004D4C57">
        <w:rPr>
          <w:color w:val="000000" w:themeColor="text1"/>
          <w:lang w:val="en-CA"/>
        </w:rPr>
        <w:t xml:space="preserve">find it difficult to adopt </w:t>
      </w:r>
      <w:r w:rsidR="00536B4F" w:rsidRPr="004D4C57">
        <w:rPr>
          <w:color w:val="000000" w:themeColor="text1"/>
          <w:lang w:val="en-CA"/>
        </w:rPr>
        <w:t xml:space="preserve">and maintain </w:t>
      </w:r>
      <w:r w:rsidR="006C5865" w:rsidRPr="004D4C57">
        <w:rPr>
          <w:color w:val="000000" w:themeColor="text1"/>
          <w:lang w:val="en-CA"/>
        </w:rPr>
        <w:t xml:space="preserve">new </w:t>
      </w:r>
      <w:r w:rsidR="006C5865" w:rsidRPr="004D4C57">
        <w:rPr>
          <w:color w:val="000000" w:themeColor="text1"/>
        </w:rPr>
        <w:t>goals for active engagement in retirement</w:t>
      </w:r>
      <w:r w:rsidR="00B24333" w:rsidRPr="004D4C57">
        <w:rPr>
          <w:color w:val="000000" w:themeColor="text1"/>
        </w:rPr>
        <w:t xml:space="preserve"> (Wang &amp; Shi, 2014)</w:t>
      </w:r>
      <w:r w:rsidR="00D71B18" w:rsidRPr="004D4C57">
        <w:rPr>
          <w:color w:val="000000" w:themeColor="text1"/>
        </w:rPr>
        <w:t>, and</w:t>
      </w:r>
      <w:r w:rsidR="00222479" w:rsidRPr="004D4C57">
        <w:rPr>
          <w:color w:val="000000" w:themeColor="text1"/>
          <w:lang w:val="en-CA"/>
        </w:rPr>
        <w:t xml:space="preserve"> </w:t>
      </w:r>
      <w:r w:rsidR="007915B1" w:rsidRPr="004D4C57">
        <w:rPr>
          <w:color w:val="000000" w:themeColor="text1"/>
        </w:rPr>
        <w:t xml:space="preserve">may </w:t>
      </w:r>
      <w:r w:rsidR="00222479" w:rsidRPr="004D4C57">
        <w:rPr>
          <w:color w:val="000000" w:themeColor="text1"/>
        </w:rPr>
        <w:t xml:space="preserve">thus </w:t>
      </w:r>
      <w:r w:rsidR="007915B1" w:rsidRPr="004D4C57">
        <w:rPr>
          <w:color w:val="000000" w:themeColor="text1"/>
        </w:rPr>
        <w:t xml:space="preserve">be less likely to seek out </w:t>
      </w:r>
      <w:r w:rsidR="008B5FB7" w:rsidRPr="004D4C57">
        <w:rPr>
          <w:color w:val="000000" w:themeColor="text1"/>
        </w:rPr>
        <w:t xml:space="preserve">and persist with </w:t>
      </w:r>
      <w:r w:rsidR="00DC1A06" w:rsidRPr="004D4C57">
        <w:rPr>
          <w:color w:val="000000" w:themeColor="text1"/>
        </w:rPr>
        <w:t xml:space="preserve">mentally </w:t>
      </w:r>
      <w:r w:rsidR="007473E4" w:rsidRPr="004D4C57">
        <w:rPr>
          <w:color w:val="000000" w:themeColor="text1"/>
        </w:rPr>
        <w:t xml:space="preserve">stimulating </w:t>
      </w:r>
      <w:r w:rsidR="00394CCE" w:rsidRPr="004D4C57">
        <w:rPr>
          <w:color w:val="000000" w:themeColor="text1"/>
        </w:rPr>
        <w:t>activities</w:t>
      </w:r>
      <w:r w:rsidR="007915B1" w:rsidRPr="004D4C57">
        <w:rPr>
          <w:color w:val="000000" w:themeColor="text1"/>
        </w:rPr>
        <w:t xml:space="preserve"> </w:t>
      </w:r>
      <w:r w:rsidR="006409DB" w:rsidRPr="004D4C57">
        <w:rPr>
          <w:color w:val="000000" w:themeColor="text1"/>
        </w:rPr>
        <w:t>that</w:t>
      </w:r>
      <w:r w:rsidR="007473E4" w:rsidRPr="004D4C57">
        <w:rPr>
          <w:color w:val="000000" w:themeColor="text1"/>
        </w:rPr>
        <w:t xml:space="preserve"> </w:t>
      </w:r>
      <w:r w:rsidR="001F3E85" w:rsidRPr="004D4C57">
        <w:rPr>
          <w:color w:val="000000" w:themeColor="text1"/>
        </w:rPr>
        <w:t xml:space="preserve">can </w:t>
      </w:r>
      <w:r w:rsidR="008B5FB7" w:rsidRPr="004D4C57">
        <w:rPr>
          <w:color w:val="000000" w:themeColor="text1"/>
        </w:rPr>
        <w:t xml:space="preserve">sustain </w:t>
      </w:r>
      <w:r w:rsidR="007473E4" w:rsidRPr="004D4C57">
        <w:rPr>
          <w:color w:val="000000" w:themeColor="text1"/>
        </w:rPr>
        <w:t xml:space="preserve">cognitive functioning </w:t>
      </w:r>
      <w:r w:rsidR="006C5865" w:rsidRPr="004D4C57">
        <w:rPr>
          <w:color w:val="000000" w:themeColor="text1"/>
        </w:rPr>
        <w:t>(</w:t>
      </w:r>
      <w:r w:rsidR="00B24333" w:rsidRPr="004D4C57">
        <w:rPr>
          <w:color w:val="000000" w:themeColor="text1"/>
        </w:rPr>
        <w:t>Lachman et al., 2010</w:t>
      </w:r>
      <w:r w:rsidR="006C5865" w:rsidRPr="004D4C57">
        <w:rPr>
          <w:color w:val="000000" w:themeColor="text1"/>
        </w:rPr>
        <w:t>).</w:t>
      </w:r>
      <w:r w:rsidR="00E6631E" w:rsidRPr="004D4C57">
        <w:rPr>
          <w:color w:val="000000" w:themeColor="text1"/>
        </w:rPr>
        <w:t xml:space="preserve"> Accelerated declines could occur under these circumstances for women who commonly enter retirement with fewer socioeconomic resources that can </w:t>
      </w:r>
      <w:r w:rsidR="00871505" w:rsidRPr="004D4C57">
        <w:rPr>
          <w:color w:val="000000" w:themeColor="text1"/>
        </w:rPr>
        <w:t xml:space="preserve">buffer </w:t>
      </w:r>
      <w:r w:rsidR="00E6631E" w:rsidRPr="004D4C57">
        <w:rPr>
          <w:color w:val="000000" w:themeColor="text1"/>
        </w:rPr>
        <w:t>against losses in cognition (</w:t>
      </w:r>
      <w:r w:rsidR="00871505" w:rsidRPr="004D4C57">
        <w:rPr>
          <w:color w:val="000000" w:themeColor="text1"/>
        </w:rPr>
        <w:t>Hughes et al., 2014</w:t>
      </w:r>
      <w:r w:rsidR="007127CF" w:rsidRPr="004D4C57">
        <w:rPr>
          <w:color w:val="000000" w:themeColor="text1"/>
        </w:rPr>
        <w:t xml:space="preserve">; </w:t>
      </w:r>
      <w:proofErr w:type="spellStart"/>
      <w:r w:rsidR="007127CF" w:rsidRPr="004D4C57">
        <w:rPr>
          <w:color w:val="000000" w:themeColor="text1"/>
        </w:rPr>
        <w:t>Wickrama</w:t>
      </w:r>
      <w:proofErr w:type="spellEnd"/>
      <w:r w:rsidR="007127CF" w:rsidRPr="004D4C57">
        <w:rPr>
          <w:color w:val="000000" w:themeColor="text1"/>
        </w:rPr>
        <w:t xml:space="preserve"> et al., 2013</w:t>
      </w:r>
      <w:r w:rsidR="00871505" w:rsidRPr="004D4C57">
        <w:rPr>
          <w:color w:val="000000" w:themeColor="text1"/>
        </w:rPr>
        <w:t>)</w:t>
      </w:r>
      <w:r w:rsidR="00E6631E" w:rsidRPr="004D4C57">
        <w:rPr>
          <w:color w:val="000000" w:themeColor="text1"/>
        </w:rPr>
        <w:t>.</w:t>
      </w:r>
      <w:r w:rsidR="00E6631E" w:rsidRPr="004D4C57">
        <w:rPr>
          <w:color w:val="000000" w:themeColor="text1"/>
          <w:lang w:val="en-CA"/>
        </w:rPr>
        <w:t xml:space="preserve"> </w:t>
      </w:r>
    </w:p>
    <w:p w14:paraId="0DEF5768" w14:textId="77777777" w:rsidR="00625D2E" w:rsidRPr="004D4C57" w:rsidRDefault="00B672C3" w:rsidP="00B672C3">
      <w:pPr>
        <w:jc w:val="center"/>
        <w:rPr>
          <w:b/>
          <w:color w:val="000000" w:themeColor="text1"/>
        </w:rPr>
      </w:pPr>
      <w:r w:rsidRPr="004D4C57">
        <w:rPr>
          <w:b/>
          <w:color w:val="000000" w:themeColor="text1"/>
        </w:rPr>
        <w:t>Method</w:t>
      </w:r>
    </w:p>
    <w:p w14:paraId="31F8E083" w14:textId="77777777" w:rsidR="00855075" w:rsidRPr="004D4C57" w:rsidRDefault="00855075" w:rsidP="00855075">
      <w:pPr>
        <w:widowControl w:val="0"/>
        <w:spacing w:line="456" w:lineRule="auto"/>
        <w:rPr>
          <w:b/>
          <w:color w:val="000000" w:themeColor="text1"/>
        </w:rPr>
      </w:pPr>
      <w:r w:rsidRPr="004D4C57">
        <w:rPr>
          <w:b/>
          <w:color w:val="000000" w:themeColor="text1"/>
        </w:rPr>
        <w:t>Participants and Procedures</w:t>
      </w:r>
    </w:p>
    <w:p w14:paraId="33C9D01E" w14:textId="6AA10D94" w:rsidR="003F3E8C" w:rsidRPr="004D4C57" w:rsidRDefault="00855075" w:rsidP="00855075">
      <w:pPr>
        <w:widowControl w:val="0"/>
        <w:spacing w:line="456" w:lineRule="auto"/>
        <w:rPr>
          <w:color w:val="000000" w:themeColor="text1"/>
        </w:rPr>
      </w:pPr>
      <w:r w:rsidRPr="004D4C57">
        <w:rPr>
          <w:color w:val="000000" w:themeColor="text1"/>
        </w:rPr>
        <w:tab/>
        <w:t xml:space="preserve">We examined our research questions using data from the Midlife in the United States </w:t>
      </w:r>
      <w:r w:rsidR="006A4588" w:rsidRPr="004D4C57">
        <w:rPr>
          <w:color w:val="000000" w:themeColor="text1"/>
        </w:rPr>
        <w:t>Study</w:t>
      </w:r>
      <w:r w:rsidRPr="004D4C57">
        <w:rPr>
          <w:color w:val="000000" w:themeColor="text1"/>
        </w:rPr>
        <w:t xml:space="preserve"> (MIDUS</w:t>
      </w:r>
      <w:r w:rsidR="00413A2E" w:rsidRPr="004D4C57">
        <w:rPr>
          <w:color w:val="000000" w:themeColor="text1"/>
        </w:rPr>
        <w:t xml:space="preserve">; </w:t>
      </w:r>
      <w:r w:rsidRPr="004D4C57">
        <w:rPr>
          <w:color w:val="000000" w:themeColor="text1"/>
        </w:rPr>
        <w:t>see Brim</w:t>
      </w:r>
      <w:r w:rsidR="00413A2E" w:rsidRPr="004D4C57">
        <w:rPr>
          <w:color w:val="000000" w:themeColor="text1"/>
        </w:rPr>
        <w:t xml:space="preserve"> et al., </w:t>
      </w:r>
      <w:r w:rsidRPr="004D4C57">
        <w:rPr>
          <w:color w:val="000000" w:themeColor="text1"/>
        </w:rPr>
        <w:t xml:space="preserve">2004; </w:t>
      </w:r>
      <w:proofErr w:type="spellStart"/>
      <w:r w:rsidRPr="004D4C57">
        <w:rPr>
          <w:color w:val="000000" w:themeColor="text1"/>
        </w:rPr>
        <w:t>Ryff</w:t>
      </w:r>
      <w:proofErr w:type="spellEnd"/>
      <w:r w:rsidRPr="004D4C57">
        <w:rPr>
          <w:color w:val="000000" w:themeColor="text1"/>
        </w:rPr>
        <w:t xml:space="preserve"> et al., 2017). Briefly, MIDUS is a national study of American adults who were </w:t>
      </w:r>
      <w:r w:rsidR="001F3E85" w:rsidRPr="004D4C57">
        <w:rPr>
          <w:color w:val="000000" w:themeColor="text1"/>
        </w:rPr>
        <w:t>initially assessed</w:t>
      </w:r>
      <w:r w:rsidRPr="004D4C57">
        <w:rPr>
          <w:color w:val="000000" w:themeColor="text1"/>
        </w:rPr>
        <w:t xml:space="preserve"> </w:t>
      </w:r>
      <w:r w:rsidR="00250B5D" w:rsidRPr="004D4C57">
        <w:rPr>
          <w:color w:val="000000" w:themeColor="text1"/>
        </w:rPr>
        <w:t xml:space="preserve">in 1995 </w:t>
      </w:r>
      <w:r w:rsidRPr="004D4C57">
        <w:rPr>
          <w:color w:val="000000" w:themeColor="text1"/>
        </w:rPr>
        <w:t>(</w:t>
      </w:r>
      <w:r w:rsidRPr="004D4C57">
        <w:rPr>
          <w:i/>
          <w:color w:val="000000" w:themeColor="text1"/>
        </w:rPr>
        <w:t>n</w:t>
      </w:r>
      <w:r w:rsidRPr="004D4C57">
        <w:rPr>
          <w:color w:val="000000" w:themeColor="text1"/>
        </w:rPr>
        <w:t xml:space="preserve"> = 7,108)</w:t>
      </w:r>
      <w:r w:rsidR="00250B5D" w:rsidRPr="004D4C57">
        <w:rPr>
          <w:color w:val="000000" w:themeColor="text1"/>
        </w:rPr>
        <w:t xml:space="preserve"> and who were reassessed </w:t>
      </w:r>
      <w:r w:rsidRPr="004D4C57">
        <w:rPr>
          <w:color w:val="000000" w:themeColor="text1"/>
        </w:rPr>
        <w:t xml:space="preserve">in 2004 (MIDUS </w:t>
      </w:r>
      <w:r w:rsidR="00771E80" w:rsidRPr="004D4C57">
        <w:rPr>
          <w:color w:val="000000" w:themeColor="text1"/>
        </w:rPr>
        <w:t>2</w:t>
      </w:r>
      <w:r w:rsidRPr="004D4C57">
        <w:rPr>
          <w:color w:val="000000" w:themeColor="text1"/>
        </w:rPr>
        <w:t xml:space="preserve">) and 2013 (MIDUS </w:t>
      </w:r>
      <w:r w:rsidR="00771E80" w:rsidRPr="004D4C57">
        <w:rPr>
          <w:color w:val="000000" w:themeColor="text1"/>
        </w:rPr>
        <w:t>3</w:t>
      </w:r>
      <w:r w:rsidRPr="004D4C57">
        <w:rPr>
          <w:color w:val="000000" w:themeColor="text1"/>
        </w:rPr>
        <w:t xml:space="preserve">). </w:t>
      </w:r>
      <w:r w:rsidR="00E703DF" w:rsidRPr="004D4C57">
        <w:rPr>
          <w:color w:val="000000" w:themeColor="text1"/>
        </w:rPr>
        <w:t>Our</w:t>
      </w:r>
      <w:r w:rsidR="00A52C8D" w:rsidRPr="004D4C57">
        <w:rPr>
          <w:color w:val="000000" w:themeColor="text1"/>
        </w:rPr>
        <w:t xml:space="preserve"> study focused on participants from </w:t>
      </w:r>
      <w:r w:rsidR="00B04332" w:rsidRPr="004D4C57">
        <w:rPr>
          <w:color w:val="000000" w:themeColor="text1"/>
        </w:rPr>
        <w:t xml:space="preserve">MIDUS 2 and 3 </w:t>
      </w:r>
      <w:r w:rsidR="00102055" w:rsidRPr="004D4C57">
        <w:rPr>
          <w:color w:val="000000" w:themeColor="text1"/>
        </w:rPr>
        <w:t xml:space="preserve">because cognitive functioning was not assessed at </w:t>
      </w:r>
      <w:r w:rsidR="00B04332" w:rsidRPr="004D4C57">
        <w:rPr>
          <w:color w:val="000000" w:themeColor="text1"/>
        </w:rPr>
        <w:t>MIDUS 1</w:t>
      </w:r>
      <w:r w:rsidRPr="004D4C57">
        <w:rPr>
          <w:color w:val="000000" w:themeColor="text1"/>
        </w:rPr>
        <w:t xml:space="preserve">. Inclusion criteria for the present study were that participants (a) were 50+ years </w:t>
      </w:r>
      <w:r w:rsidR="001F3E85" w:rsidRPr="004D4C57">
        <w:rPr>
          <w:color w:val="000000" w:themeColor="text1"/>
        </w:rPr>
        <w:t>old</w:t>
      </w:r>
      <w:r w:rsidRPr="004D4C57">
        <w:rPr>
          <w:color w:val="000000" w:themeColor="text1"/>
        </w:rPr>
        <w:t xml:space="preserve"> at MIDUS </w:t>
      </w:r>
      <w:r w:rsidR="00771E80" w:rsidRPr="004D4C57">
        <w:rPr>
          <w:color w:val="000000" w:themeColor="text1"/>
        </w:rPr>
        <w:t>2</w:t>
      </w:r>
      <w:r w:rsidRPr="004D4C57">
        <w:rPr>
          <w:color w:val="000000" w:themeColor="text1"/>
        </w:rPr>
        <w:t xml:space="preserve">, (b) reported they were working or self-employed at MIDUS </w:t>
      </w:r>
      <w:r w:rsidR="00771E80" w:rsidRPr="004D4C57">
        <w:rPr>
          <w:color w:val="000000" w:themeColor="text1"/>
        </w:rPr>
        <w:t>2</w:t>
      </w:r>
      <w:r w:rsidRPr="004D4C57">
        <w:rPr>
          <w:color w:val="000000" w:themeColor="text1"/>
        </w:rPr>
        <w:t xml:space="preserve">, (c) indicated they were working, self-employed, or retired at MIDUS </w:t>
      </w:r>
      <w:r w:rsidR="00771E80" w:rsidRPr="004D4C57">
        <w:rPr>
          <w:color w:val="000000" w:themeColor="text1"/>
        </w:rPr>
        <w:t>3</w:t>
      </w:r>
      <w:r w:rsidRPr="004D4C57">
        <w:rPr>
          <w:color w:val="000000" w:themeColor="text1"/>
        </w:rPr>
        <w:t xml:space="preserve">, (d) </w:t>
      </w:r>
      <w:r w:rsidR="00E03AE8" w:rsidRPr="004D4C57">
        <w:rPr>
          <w:color w:val="000000" w:themeColor="text1"/>
        </w:rPr>
        <w:t>had</w:t>
      </w:r>
      <w:r w:rsidRPr="004D4C57">
        <w:rPr>
          <w:color w:val="000000" w:themeColor="text1"/>
        </w:rPr>
        <w:t xml:space="preserve"> data on the </w:t>
      </w:r>
      <w:r w:rsidR="00771E80" w:rsidRPr="004D4C57">
        <w:rPr>
          <w:color w:val="000000" w:themeColor="text1"/>
        </w:rPr>
        <w:t xml:space="preserve">MIDUS 2 </w:t>
      </w:r>
      <w:r w:rsidRPr="004D4C57">
        <w:rPr>
          <w:color w:val="000000" w:themeColor="text1"/>
        </w:rPr>
        <w:t xml:space="preserve">matching variables that included age, </w:t>
      </w:r>
      <w:r w:rsidR="00F1481D" w:rsidRPr="004D4C57">
        <w:rPr>
          <w:color w:val="000000" w:themeColor="text1"/>
        </w:rPr>
        <w:t>gender</w:t>
      </w:r>
      <w:r w:rsidRPr="004D4C57">
        <w:rPr>
          <w:color w:val="000000" w:themeColor="text1"/>
        </w:rPr>
        <w:t>, education, income, occupatio</w:t>
      </w:r>
      <w:r w:rsidR="00C85EDF" w:rsidRPr="004D4C57">
        <w:rPr>
          <w:color w:val="000000" w:themeColor="text1"/>
        </w:rPr>
        <w:t>n</w:t>
      </w:r>
      <w:r w:rsidRPr="004D4C57">
        <w:rPr>
          <w:color w:val="000000" w:themeColor="text1"/>
        </w:rPr>
        <w:t>, and self-reported health</w:t>
      </w:r>
      <w:r w:rsidR="000D3249" w:rsidRPr="004D4C57">
        <w:rPr>
          <w:color w:val="000000" w:themeColor="text1"/>
        </w:rPr>
        <w:t xml:space="preserve">, and (e) provided data on our outcome measures of episodic memory </w:t>
      </w:r>
      <w:r w:rsidR="00FF49A1" w:rsidRPr="004D4C57">
        <w:rPr>
          <w:color w:val="000000" w:themeColor="text1"/>
        </w:rPr>
        <w:t>and/</w:t>
      </w:r>
      <w:r w:rsidR="000D3249" w:rsidRPr="004D4C57">
        <w:rPr>
          <w:color w:val="000000" w:themeColor="text1"/>
        </w:rPr>
        <w:t>or executive functioning at MIDUS 3</w:t>
      </w:r>
      <w:r w:rsidRPr="004D4C57">
        <w:rPr>
          <w:color w:val="000000" w:themeColor="text1"/>
        </w:rPr>
        <w:t xml:space="preserve">. </w:t>
      </w:r>
    </w:p>
    <w:p w14:paraId="15024477" w14:textId="6488D1B2" w:rsidR="00F4137E" w:rsidRPr="004D4C57" w:rsidRDefault="00855075" w:rsidP="00AC3533">
      <w:pPr>
        <w:widowControl w:val="0"/>
        <w:spacing w:line="480" w:lineRule="auto"/>
        <w:ind w:firstLine="720"/>
        <w:rPr>
          <w:color w:val="000000" w:themeColor="text1"/>
        </w:rPr>
      </w:pPr>
      <w:r w:rsidRPr="004D4C57">
        <w:rPr>
          <w:color w:val="000000" w:themeColor="text1"/>
        </w:rPr>
        <w:t xml:space="preserve">These criteria allowed us to </w:t>
      </w:r>
      <w:r w:rsidR="003F3E8C" w:rsidRPr="004D4C57">
        <w:rPr>
          <w:color w:val="000000" w:themeColor="text1"/>
        </w:rPr>
        <w:t xml:space="preserve">examine </w:t>
      </w:r>
      <w:r w:rsidR="00C45E49" w:rsidRPr="004D4C57">
        <w:rPr>
          <w:color w:val="000000" w:themeColor="text1"/>
        </w:rPr>
        <w:t>nine</w:t>
      </w:r>
      <w:r w:rsidR="00303DC9" w:rsidRPr="004D4C57">
        <w:rPr>
          <w:color w:val="000000" w:themeColor="text1"/>
        </w:rPr>
        <w:t xml:space="preserve">-year </w:t>
      </w:r>
      <w:r w:rsidR="003F3E8C" w:rsidRPr="004D4C57">
        <w:rPr>
          <w:color w:val="000000" w:themeColor="text1"/>
        </w:rPr>
        <w:t xml:space="preserve">differences in cognitive functioning </w:t>
      </w:r>
      <w:r w:rsidR="003F3E8C" w:rsidRPr="004D4C57">
        <w:rPr>
          <w:color w:val="000000" w:themeColor="text1"/>
        </w:rPr>
        <w:lastRenderedPageBreak/>
        <w:t>between</w:t>
      </w:r>
      <w:r w:rsidRPr="004D4C57">
        <w:rPr>
          <w:color w:val="000000" w:themeColor="text1"/>
        </w:rPr>
        <w:t xml:space="preserve"> </w:t>
      </w:r>
      <w:r w:rsidR="003F3E8C" w:rsidRPr="004D4C57">
        <w:rPr>
          <w:color w:val="000000" w:themeColor="text1"/>
        </w:rPr>
        <w:t xml:space="preserve">matched samples of middle-aged and older adults who </w:t>
      </w:r>
      <w:r w:rsidR="00641667" w:rsidRPr="004D4C57">
        <w:rPr>
          <w:color w:val="000000" w:themeColor="text1"/>
        </w:rPr>
        <w:t xml:space="preserve">retired versus their peers who </w:t>
      </w:r>
      <w:r w:rsidR="003F3E8C" w:rsidRPr="004D4C57">
        <w:rPr>
          <w:color w:val="000000" w:themeColor="text1"/>
        </w:rPr>
        <w:t>stayed employed</w:t>
      </w:r>
      <w:r w:rsidRPr="004D4C57">
        <w:rPr>
          <w:color w:val="000000" w:themeColor="text1"/>
        </w:rPr>
        <w:t>.</w:t>
      </w:r>
      <w:r w:rsidR="003F3E8C" w:rsidRPr="004D4C57">
        <w:rPr>
          <w:color w:val="000000" w:themeColor="text1"/>
        </w:rPr>
        <w:t xml:space="preserve"> </w:t>
      </w:r>
      <w:r w:rsidRPr="004D4C57">
        <w:rPr>
          <w:color w:val="000000" w:themeColor="text1"/>
        </w:rPr>
        <w:t xml:space="preserve">At </w:t>
      </w:r>
      <w:r w:rsidR="003F3E8C" w:rsidRPr="004D4C57">
        <w:rPr>
          <w:color w:val="000000" w:themeColor="text1"/>
        </w:rPr>
        <w:t xml:space="preserve">MIDUS </w:t>
      </w:r>
      <w:r w:rsidR="00AE6DC9" w:rsidRPr="004D4C57">
        <w:rPr>
          <w:color w:val="000000" w:themeColor="text1"/>
        </w:rPr>
        <w:t>2</w:t>
      </w:r>
      <w:r w:rsidRPr="004D4C57">
        <w:rPr>
          <w:color w:val="000000" w:themeColor="text1"/>
        </w:rPr>
        <w:t xml:space="preserve">, the retained sample </w:t>
      </w:r>
      <w:r w:rsidR="003F3E8C" w:rsidRPr="004D4C57">
        <w:rPr>
          <w:color w:val="000000" w:themeColor="text1"/>
        </w:rPr>
        <w:t>(</w:t>
      </w:r>
      <w:r w:rsidR="003F3E8C" w:rsidRPr="004D4C57">
        <w:rPr>
          <w:i/>
          <w:color w:val="000000" w:themeColor="text1"/>
        </w:rPr>
        <w:t xml:space="preserve">n </w:t>
      </w:r>
      <w:r w:rsidR="003F3E8C" w:rsidRPr="004D4C57">
        <w:rPr>
          <w:color w:val="000000" w:themeColor="text1"/>
        </w:rPr>
        <w:t>=</w:t>
      </w:r>
      <w:r w:rsidR="00456973" w:rsidRPr="004D4C57">
        <w:rPr>
          <w:color w:val="000000" w:themeColor="text1"/>
        </w:rPr>
        <w:t xml:space="preserve"> 732</w:t>
      </w:r>
      <w:r w:rsidR="003F3E8C" w:rsidRPr="004D4C57">
        <w:rPr>
          <w:color w:val="000000" w:themeColor="text1"/>
        </w:rPr>
        <w:t xml:space="preserve">) </w:t>
      </w:r>
      <w:r w:rsidR="00C13C78" w:rsidRPr="004D4C57">
        <w:rPr>
          <w:color w:val="000000" w:themeColor="text1"/>
        </w:rPr>
        <w:t>was</w:t>
      </w:r>
      <w:r w:rsidR="006F1DA7" w:rsidRPr="004D4C57">
        <w:rPr>
          <w:color w:val="000000" w:themeColor="text1"/>
        </w:rPr>
        <w:t xml:space="preserve"> working or self-employed, </w:t>
      </w:r>
      <w:r w:rsidRPr="004D4C57">
        <w:rPr>
          <w:color w:val="000000" w:themeColor="text1"/>
        </w:rPr>
        <w:t xml:space="preserve">had a mean age of 57 (range = </w:t>
      </w:r>
      <w:r w:rsidR="00456973" w:rsidRPr="004D4C57">
        <w:rPr>
          <w:color w:val="000000" w:themeColor="text1"/>
        </w:rPr>
        <w:t>50-77</w:t>
      </w:r>
      <w:r w:rsidRPr="004D4C57">
        <w:rPr>
          <w:color w:val="000000" w:themeColor="text1"/>
        </w:rPr>
        <w:t>), was 5</w:t>
      </w:r>
      <w:r w:rsidR="00456973" w:rsidRPr="004D4C57">
        <w:rPr>
          <w:color w:val="000000" w:themeColor="text1"/>
        </w:rPr>
        <w:t>0</w:t>
      </w:r>
      <w:r w:rsidRPr="004D4C57">
        <w:rPr>
          <w:color w:val="000000" w:themeColor="text1"/>
        </w:rPr>
        <w:t xml:space="preserve">% female and </w:t>
      </w:r>
      <w:r w:rsidR="00C13C78" w:rsidRPr="004D4C57">
        <w:rPr>
          <w:color w:val="000000" w:themeColor="text1"/>
        </w:rPr>
        <w:t>94</w:t>
      </w:r>
      <w:r w:rsidRPr="004D4C57">
        <w:rPr>
          <w:color w:val="000000" w:themeColor="text1"/>
        </w:rPr>
        <w:t>% White, had an average household income of $</w:t>
      </w:r>
      <w:r w:rsidR="00D043AC" w:rsidRPr="004D4C57">
        <w:rPr>
          <w:color w:val="000000" w:themeColor="text1"/>
        </w:rPr>
        <w:t>88,507</w:t>
      </w:r>
      <w:r w:rsidRPr="004D4C57">
        <w:rPr>
          <w:color w:val="000000" w:themeColor="text1"/>
        </w:rPr>
        <w:t xml:space="preserve">, </w:t>
      </w:r>
      <w:r w:rsidR="001D7966" w:rsidRPr="004D4C57">
        <w:rPr>
          <w:color w:val="000000" w:themeColor="text1"/>
        </w:rPr>
        <w:t xml:space="preserve">and </w:t>
      </w:r>
      <w:r w:rsidR="00C13C78" w:rsidRPr="004D4C57">
        <w:rPr>
          <w:color w:val="000000" w:themeColor="text1"/>
        </w:rPr>
        <w:t>76</w:t>
      </w:r>
      <w:r w:rsidRPr="004D4C57">
        <w:rPr>
          <w:color w:val="000000" w:themeColor="text1"/>
        </w:rPr>
        <w:t xml:space="preserve">% </w:t>
      </w:r>
      <w:r w:rsidR="00456973" w:rsidRPr="004D4C57">
        <w:rPr>
          <w:color w:val="000000" w:themeColor="text1"/>
        </w:rPr>
        <w:t>had</w:t>
      </w:r>
      <w:r w:rsidRPr="004D4C57">
        <w:rPr>
          <w:color w:val="000000" w:themeColor="text1"/>
        </w:rPr>
        <w:t xml:space="preserve"> some postsecondary education. </w:t>
      </w:r>
      <w:r w:rsidR="001637C0" w:rsidRPr="004D4C57">
        <w:rPr>
          <w:color w:val="000000" w:themeColor="text1"/>
        </w:rPr>
        <w:t xml:space="preserve">See the OSM for </w:t>
      </w:r>
      <w:r w:rsidR="00B2398E" w:rsidRPr="004D4C57">
        <w:rPr>
          <w:color w:val="000000" w:themeColor="text1"/>
          <w:lang w:val="en-CA"/>
        </w:rPr>
        <w:t xml:space="preserve">precautions taken to </w:t>
      </w:r>
      <w:r w:rsidR="00B2398E" w:rsidRPr="004D4C57">
        <w:rPr>
          <w:color w:val="000000" w:themeColor="text1"/>
        </w:rPr>
        <w:t xml:space="preserve">ensure the comparability of our retiree and employee samples as well as </w:t>
      </w:r>
      <w:r w:rsidR="001637C0" w:rsidRPr="004D4C57">
        <w:rPr>
          <w:color w:val="000000" w:themeColor="text1"/>
        </w:rPr>
        <w:t xml:space="preserve">differences between the analyzed sample and </w:t>
      </w:r>
      <w:r w:rsidR="00F27D63" w:rsidRPr="004D4C57">
        <w:rPr>
          <w:color w:val="000000" w:themeColor="text1"/>
        </w:rPr>
        <w:t>the full</w:t>
      </w:r>
      <w:r w:rsidR="001637C0" w:rsidRPr="004D4C57">
        <w:rPr>
          <w:color w:val="000000" w:themeColor="text1"/>
        </w:rPr>
        <w:t xml:space="preserve"> MIDUS </w:t>
      </w:r>
      <w:r w:rsidR="00F27D63" w:rsidRPr="004D4C57">
        <w:rPr>
          <w:color w:val="000000" w:themeColor="text1"/>
        </w:rPr>
        <w:t>sample</w:t>
      </w:r>
      <w:r w:rsidR="001637C0" w:rsidRPr="004D4C57">
        <w:rPr>
          <w:color w:val="000000" w:themeColor="text1"/>
        </w:rPr>
        <w:t xml:space="preserve">. </w:t>
      </w:r>
      <w:r w:rsidRPr="004D4C57">
        <w:rPr>
          <w:color w:val="000000" w:themeColor="text1"/>
        </w:rPr>
        <w:t>MIDUS data collection was approved by the Education and Social/Behavioral Sciences and the Health Sciences Institutional Review Boards at the University of Wisconsin-Madison.</w:t>
      </w:r>
    </w:p>
    <w:p w14:paraId="1A3A39D4" w14:textId="61AE2518" w:rsidR="00AC3533" w:rsidRPr="004D4C57" w:rsidRDefault="00690FFA" w:rsidP="00AC3533">
      <w:pPr>
        <w:spacing w:line="480" w:lineRule="auto"/>
        <w:rPr>
          <w:b/>
          <w:color w:val="000000" w:themeColor="text1"/>
        </w:rPr>
      </w:pPr>
      <w:r w:rsidRPr="004D4C57">
        <w:rPr>
          <w:b/>
          <w:color w:val="000000" w:themeColor="text1"/>
        </w:rPr>
        <w:t>Matching and Predictor Variables</w:t>
      </w:r>
      <w:r w:rsidR="00E0557C" w:rsidRPr="004D4C57">
        <w:rPr>
          <w:b/>
          <w:color w:val="000000" w:themeColor="text1"/>
        </w:rPr>
        <w:t xml:space="preserve"> (see Table 1)</w:t>
      </w:r>
    </w:p>
    <w:p w14:paraId="3532D9FF" w14:textId="5674C37C" w:rsidR="002C2E9D" w:rsidRPr="004D4C57" w:rsidRDefault="002E2F13" w:rsidP="002C2E9D">
      <w:pPr>
        <w:spacing w:line="480" w:lineRule="auto"/>
        <w:ind w:firstLine="720"/>
        <w:rPr>
          <w:color w:val="000000" w:themeColor="text1"/>
        </w:rPr>
      </w:pPr>
      <w:r w:rsidRPr="004D4C57">
        <w:rPr>
          <w:b/>
          <w:color w:val="000000" w:themeColor="text1"/>
        </w:rPr>
        <w:t>Demographic matching variables.</w:t>
      </w:r>
      <w:r w:rsidR="00433177" w:rsidRPr="004D4C57">
        <w:rPr>
          <w:color w:val="000000" w:themeColor="text1"/>
        </w:rPr>
        <w:t xml:space="preserve"> Mat</w:t>
      </w:r>
      <w:r w:rsidR="00C85EDF" w:rsidRPr="004D4C57">
        <w:rPr>
          <w:color w:val="000000" w:themeColor="text1"/>
        </w:rPr>
        <w:t xml:space="preserve">ching variables were assessed at MIDUS 2 and included age (in years), </w:t>
      </w:r>
      <w:r w:rsidR="00F1481D" w:rsidRPr="004D4C57">
        <w:rPr>
          <w:color w:val="000000" w:themeColor="text1"/>
        </w:rPr>
        <w:t>gender</w:t>
      </w:r>
      <w:r w:rsidR="00C85EDF" w:rsidRPr="004D4C57">
        <w:rPr>
          <w:color w:val="000000" w:themeColor="text1"/>
        </w:rPr>
        <w:t xml:space="preserve"> (1 = </w:t>
      </w:r>
      <w:r w:rsidR="00C85EDF" w:rsidRPr="004D4C57">
        <w:rPr>
          <w:i/>
          <w:color w:val="000000" w:themeColor="text1"/>
        </w:rPr>
        <w:t>male</w:t>
      </w:r>
      <w:r w:rsidR="00C85EDF" w:rsidRPr="004D4C57">
        <w:rPr>
          <w:color w:val="000000" w:themeColor="text1"/>
        </w:rPr>
        <w:t xml:space="preserve">, 2 = </w:t>
      </w:r>
      <w:r w:rsidR="00C85EDF" w:rsidRPr="004D4C57">
        <w:rPr>
          <w:i/>
          <w:color w:val="000000" w:themeColor="text1"/>
        </w:rPr>
        <w:t>female</w:t>
      </w:r>
      <w:r w:rsidR="00C85EDF" w:rsidRPr="004D4C57">
        <w:rPr>
          <w:color w:val="000000" w:themeColor="text1"/>
        </w:rPr>
        <w:t>), education, household income, occupation, and self-reported health</w:t>
      </w:r>
      <w:r w:rsidR="00C9206B" w:rsidRPr="004D4C57">
        <w:rPr>
          <w:color w:val="000000" w:themeColor="text1"/>
        </w:rPr>
        <w:t xml:space="preserve"> status</w:t>
      </w:r>
      <w:r w:rsidR="00C85EDF" w:rsidRPr="004D4C57">
        <w:rPr>
          <w:color w:val="000000" w:themeColor="text1"/>
        </w:rPr>
        <w:t xml:space="preserve">. </w:t>
      </w:r>
      <w:r w:rsidR="006B442C" w:rsidRPr="004D4C57">
        <w:rPr>
          <w:color w:val="000000" w:themeColor="text1"/>
        </w:rPr>
        <w:t>E</w:t>
      </w:r>
      <w:r w:rsidR="00C85EDF" w:rsidRPr="004D4C57">
        <w:rPr>
          <w:color w:val="000000" w:themeColor="text1"/>
        </w:rPr>
        <w:t xml:space="preserve">ducation was assessed using a 12-point scale </w:t>
      </w:r>
      <w:r w:rsidR="00E631F3" w:rsidRPr="004D4C57">
        <w:rPr>
          <w:color w:val="000000" w:themeColor="text1"/>
        </w:rPr>
        <w:t xml:space="preserve">and recoded to reflect whether participants had completed some post-secondary education (0 = </w:t>
      </w:r>
      <w:r w:rsidR="00E631F3" w:rsidRPr="004D4C57">
        <w:rPr>
          <w:i/>
          <w:color w:val="000000" w:themeColor="text1"/>
        </w:rPr>
        <w:t>no postsecondary education</w:t>
      </w:r>
      <w:r w:rsidR="00E631F3" w:rsidRPr="004D4C57">
        <w:rPr>
          <w:color w:val="000000" w:themeColor="text1"/>
        </w:rPr>
        <w:t xml:space="preserve">, 1 = </w:t>
      </w:r>
      <w:r w:rsidR="00E631F3" w:rsidRPr="004D4C57">
        <w:rPr>
          <w:i/>
          <w:color w:val="000000" w:themeColor="text1"/>
        </w:rPr>
        <w:t>1+ year of postsecondary education</w:t>
      </w:r>
      <w:r w:rsidR="00E631F3" w:rsidRPr="004D4C57">
        <w:rPr>
          <w:color w:val="000000" w:themeColor="text1"/>
        </w:rPr>
        <w:t xml:space="preserve">). Occupation was self-reported and coded to reflect whether participants were in managerial or professional positions (0 = </w:t>
      </w:r>
      <w:r w:rsidR="00F27D63" w:rsidRPr="004D4C57">
        <w:rPr>
          <w:i/>
          <w:color w:val="000000" w:themeColor="text1"/>
        </w:rPr>
        <w:t>no</w:t>
      </w:r>
      <w:r w:rsidR="00E631F3" w:rsidRPr="004D4C57">
        <w:rPr>
          <w:color w:val="000000" w:themeColor="text1"/>
        </w:rPr>
        <w:t xml:space="preserve">, 1 = </w:t>
      </w:r>
      <w:r w:rsidR="00F27D63" w:rsidRPr="004D4C57">
        <w:rPr>
          <w:i/>
          <w:color w:val="000000" w:themeColor="text1"/>
        </w:rPr>
        <w:t>yes</w:t>
      </w:r>
      <w:r w:rsidR="00E631F3" w:rsidRPr="004D4C57">
        <w:rPr>
          <w:color w:val="000000" w:themeColor="text1"/>
        </w:rPr>
        <w:t>).</w:t>
      </w:r>
      <w:r w:rsidR="00053F25" w:rsidRPr="004D4C57">
        <w:rPr>
          <w:color w:val="000000" w:themeColor="text1"/>
        </w:rPr>
        <w:t xml:space="preserve"> </w:t>
      </w:r>
      <w:r w:rsidR="00C9206B" w:rsidRPr="004D4C57">
        <w:rPr>
          <w:color w:val="000000" w:themeColor="text1"/>
        </w:rPr>
        <w:t xml:space="preserve">Current health status was </w:t>
      </w:r>
      <w:r w:rsidR="00053F25" w:rsidRPr="004D4C57">
        <w:rPr>
          <w:color w:val="000000" w:themeColor="text1"/>
        </w:rPr>
        <w:t xml:space="preserve">reported on an 11-point scale (0 = </w:t>
      </w:r>
      <w:r w:rsidR="00053F25" w:rsidRPr="004D4C57">
        <w:rPr>
          <w:i/>
          <w:color w:val="000000" w:themeColor="text1"/>
        </w:rPr>
        <w:t xml:space="preserve">worst possible health, </w:t>
      </w:r>
      <w:r w:rsidR="00053F25" w:rsidRPr="004D4C57">
        <w:rPr>
          <w:color w:val="000000" w:themeColor="text1"/>
        </w:rPr>
        <w:t xml:space="preserve">10 = </w:t>
      </w:r>
      <w:r w:rsidR="00053F25" w:rsidRPr="004D4C57">
        <w:rPr>
          <w:i/>
          <w:color w:val="000000" w:themeColor="text1"/>
        </w:rPr>
        <w:t>best possible health</w:t>
      </w:r>
      <w:r w:rsidR="00053F25" w:rsidRPr="004D4C57">
        <w:rPr>
          <w:color w:val="000000" w:themeColor="text1"/>
        </w:rPr>
        <w:t>).</w:t>
      </w:r>
      <w:r w:rsidR="00C64E8E" w:rsidRPr="004D4C57">
        <w:rPr>
          <w:color w:val="000000" w:themeColor="text1"/>
        </w:rPr>
        <w:t xml:space="preserve"> </w:t>
      </w:r>
    </w:p>
    <w:p w14:paraId="3E05620B" w14:textId="5FF623C1" w:rsidR="002A77E7" w:rsidRPr="004D4C57" w:rsidRDefault="008021F2" w:rsidP="002C2E9D">
      <w:pPr>
        <w:spacing w:line="480" w:lineRule="auto"/>
        <w:ind w:firstLine="720"/>
        <w:rPr>
          <w:color w:val="000000" w:themeColor="text1"/>
        </w:rPr>
      </w:pPr>
      <w:r w:rsidRPr="004D4C57">
        <w:rPr>
          <w:b/>
          <w:color w:val="000000" w:themeColor="text1"/>
        </w:rPr>
        <w:t>Retirement</w:t>
      </w:r>
      <w:r w:rsidR="002A77E7" w:rsidRPr="004D4C57">
        <w:rPr>
          <w:b/>
          <w:color w:val="000000" w:themeColor="text1"/>
        </w:rPr>
        <w:t xml:space="preserve"> status.</w:t>
      </w:r>
      <w:r w:rsidR="002A77E7" w:rsidRPr="004D4C57">
        <w:rPr>
          <w:color w:val="000000" w:themeColor="text1"/>
        </w:rPr>
        <w:t xml:space="preserve"> </w:t>
      </w:r>
      <w:r w:rsidRPr="004D4C57">
        <w:rPr>
          <w:color w:val="000000" w:themeColor="text1"/>
        </w:rPr>
        <w:t>Retirement</w:t>
      </w:r>
      <w:r w:rsidR="002A77E7" w:rsidRPr="004D4C57">
        <w:rPr>
          <w:color w:val="000000" w:themeColor="text1"/>
        </w:rPr>
        <w:t xml:space="preserve"> status was dummy coded to reflect whether participants </w:t>
      </w:r>
      <w:r w:rsidR="006D5A84" w:rsidRPr="004D4C57">
        <w:rPr>
          <w:color w:val="000000" w:themeColor="text1"/>
        </w:rPr>
        <w:t xml:space="preserve">were working at MIDUS 2 and 3 or </w:t>
      </w:r>
      <w:r w:rsidR="002A77E7" w:rsidRPr="004D4C57">
        <w:rPr>
          <w:color w:val="000000" w:themeColor="text1"/>
        </w:rPr>
        <w:t>were working at MIDUS 2 and retired by MIDUS 3 (0 =</w:t>
      </w:r>
      <w:r w:rsidR="00B56B39" w:rsidRPr="004D4C57">
        <w:rPr>
          <w:color w:val="000000" w:themeColor="text1"/>
        </w:rPr>
        <w:t xml:space="preserve"> </w:t>
      </w:r>
      <w:r w:rsidR="00B56B39" w:rsidRPr="004D4C57">
        <w:rPr>
          <w:i/>
          <w:color w:val="000000" w:themeColor="text1"/>
        </w:rPr>
        <w:t xml:space="preserve">remained employed </w:t>
      </w:r>
      <w:r w:rsidR="00B56B39" w:rsidRPr="004D4C57">
        <w:rPr>
          <w:color w:val="000000" w:themeColor="text1"/>
        </w:rPr>
        <w:t>[</w:t>
      </w:r>
      <w:r w:rsidR="00B56B39" w:rsidRPr="004D4C57">
        <w:rPr>
          <w:i/>
          <w:color w:val="000000" w:themeColor="text1"/>
        </w:rPr>
        <w:t>n</w:t>
      </w:r>
      <w:r w:rsidR="00B56B39" w:rsidRPr="004D4C57">
        <w:rPr>
          <w:color w:val="000000" w:themeColor="text1"/>
        </w:rPr>
        <w:t xml:space="preserve"> = 419]</w:t>
      </w:r>
      <w:r w:rsidR="002A77E7" w:rsidRPr="004D4C57">
        <w:rPr>
          <w:color w:val="000000" w:themeColor="text1"/>
        </w:rPr>
        <w:t xml:space="preserve">, 1 = </w:t>
      </w:r>
      <w:r w:rsidR="00B56B39" w:rsidRPr="004D4C57">
        <w:rPr>
          <w:i/>
          <w:color w:val="000000" w:themeColor="text1"/>
        </w:rPr>
        <w:t xml:space="preserve">retired </w:t>
      </w:r>
      <w:r w:rsidR="00B56B39" w:rsidRPr="004D4C57">
        <w:rPr>
          <w:color w:val="000000" w:themeColor="text1"/>
        </w:rPr>
        <w:t>[</w:t>
      </w:r>
      <w:r w:rsidR="00B56B39" w:rsidRPr="004D4C57">
        <w:rPr>
          <w:i/>
          <w:color w:val="000000" w:themeColor="text1"/>
        </w:rPr>
        <w:t>n</w:t>
      </w:r>
      <w:r w:rsidR="00B56B39" w:rsidRPr="004D4C57">
        <w:rPr>
          <w:color w:val="000000" w:themeColor="text1"/>
        </w:rPr>
        <w:t xml:space="preserve"> = 313]</w:t>
      </w:r>
      <w:r w:rsidR="002A77E7" w:rsidRPr="004D4C57">
        <w:rPr>
          <w:color w:val="000000" w:themeColor="text1"/>
        </w:rPr>
        <w:t>).</w:t>
      </w:r>
      <w:r w:rsidR="00EA2608" w:rsidRPr="004D4C57">
        <w:rPr>
          <w:color w:val="000000" w:themeColor="text1"/>
        </w:rPr>
        <w:t xml:space="preserve"> </w:t>
      </w:r>
      <w:r w:rsidR="003C5E27" w:rsidRPr="004D4C57">
        <w:rPr>
          <w:color w:val="000000" w:themeColor="text1"/>
        </w:rPr>
        <w:t xml:space="preserve">Although retirement does not always reflect a discrete process, 98% of our retired participants reported being exclusively retired (not being in any other work category). </w:t>
      </w:r>
      <w:r w:rsidR="00EA2608" w:rsidRPr="004D4C57">
        <w:rPr>
          <w:color w:val="000000" w:themeColor="text1"/>
        </w:rPr>
        <w:t>See the OSM for further details on our operationalization.</w:t>
      </w:r>
    </w:p>
    <w:p w14:paraId="301FC782" w14:textId="33C7D8AD" w:rsidR="00265256" w:rsidRPr="004D4C57" w:rsidRDefault="00265256" w:rsidP="002C2E9D">
      <w:pPr>
        <w:spacing w:line="480" w:lineRule="auto"/>
        <w:ind w:firstLine="720"/>
        <w:rPr>
          <w:color w:val="000000" w:themeColor="text1"/>
        </w:rPr>
      </w:pPr>
      <w:r w:rsidRPr="004D4C57">
        <w:rPr>
          <w:b/>
          <w:color w:val="000000" w:themeColor="text1"/>
        </w:rPr>
        <w:lastRenderedPageBreak/>
        <w:t>Goal disengagement.</w:t>
      </w:r>
      <w:r w:rsidR="00A80750" w:rsidRPr="004D4C57">
        <w:rPr>
          <w:color w:val="000000" w:themeColor="text1"/>
        </w:rPr>
        <w:t xml:space="preserve"> Individual differences in goal disengagement were assessed </w:t>
      </w:r>
      <w:r w:rsidR="00605012" w:rsidRPr="004D4C57">
        <w:rPr>
          <w:color w:val="000000" w:themeColor="text1"/>
        </w:rPr>
        <w:t xml:space="preserve">at MIDUS 2 </w:t>
      </w:r>
      <w:r w:rsidR="00A80750" w:rsidRPr="004D4C57">
        <w:rPr>
          <w:color w:val="000000" w:themeColor="text1"/>
        </w:rPr>
        <w:t xml:space="preserve">using </w:t>
      </w:r>
      <w:r w:rsidR="00751CA9" w:rsidRPr="004D4C57">
        <w:rPr>
          <w:color w:val="000000" w:themeColor="text1"/>
        </w:rPr>
        <w:t>a</w:t>
      </w:r>
      <w:r w:rsidR="006E2CB1" w:rsidRPr="004D4C57">
        <w:rPr>
          <w:color w:val="000000" w:themeColor="text1"/>
        </w:rPr>
        <w:t xml:space="preserve"> preexisting</w:t>
      </w:r>
      <w:r w:rsidR="00751CA9" w:rsidRPr="004D4C57">
        <w:rPr>
          <w:color w:val="000000" w:themeColor="text1"/>
        </w:rPr>
        <w:t xml:space="preserve"> three-item scale</w:t>
      </w:r>
      <w:r w:rsidR="004B0072" w:rsidRPr="004D4C57">
        <w:rPr>
          <w:color w:val="000000" w:themeColor="text1"/>
        </w:rPr>
        <w:t xml:space="preserve"> that measured disengagement from attainable and unattainable goals. </w:t>
      </w:r>
      <w:r w:rsidR="00B15C3F" w:rsidRPr="004D4C57">
        <w:rPr>
          <w:color w:val="000000" w:themeColor="text1"/>
        </w:rPr>
        <w:t xml:space="preserve">Items assessed participants’ </w:t>
      </w:r>
      <w:r w:rsidR="0002784F" w:rsidRPr="004D4C57">
        <w:rPr>
          <w:color w:val="000000" w:themeColor="text1"/>
        </w:rPr>
        <w:t xml:space="preserve">general </w:t>
      </w:r>
      <w:r w:rsidR="00B15C3F" w:rsidRPr="004D4C57">
        <w:rPr>
          <w:color w:val="000000" w:themeColor="text1"/>
        </w:rPr>
        <w:t xml:space="preserve">tendencies to lower aspirations and </w:t>
      </w:r>
      <w:r w:rsidR="0002784F" w:rsidRPr="004D4C57">
        <w:rPr>
          <w:color w:val="000000" w:themeColor="text1"/>
        </w:rPr>
        <w:t xml:space="preserve">withdraw commitment from personal tasks and goals </w:t>
      </w:r>
      <w:r w:rsidR="00751CA9" w:rsidRPr="004D4C57">
        <w:rPr>
          <w:color w:val="000000" w:themeColor="text1"/>
        </w:rPr>
        <w:t>(</w:t>
      </w:r>
      <w:r w:rsidR="00751CA9" w:rsidRPr="004D4C57">
        <w:rPr>
          <w:color w:val="000000" w:themeColor="text1"/>
          <w:lang w:val="en-CA"/>
        </w:rPr>
        <w:t xml:space="preserve">“When my expectations are not being met, I lower my expectations”, “To avoid disappointments, I don’t set my goals too high”, </w:t>
      </w:r>
      <w:r w:rsidR="00751CA9" w:rsidRPr="004D4C57">
        <w:rPr>
          <w:color w:val="000000" w:themeColor="text1"/>
        </w:rPr>
        <w:t>“I feel relieved when I let go of some of my responsibilities”)</w:t>
      </w:r>
      <w:r w:rsidR="00A80750" w:rsidRPr="004D4C57">
        <w:rPr>
          <w:color w:val="000000" w:themeColor="text1"/>
        </w:rPr>
        <w:t xml:space="preserve">. Participants responded to </w:t>
      </w:r>
      <w:r w:rsidR="00751CA9" w:rsidRPr="004D4C57">
        <w:rPr>
          <w:color w:val="000000" w:themeColor="text1"/>
        </w:rPr>
        <w:t xml:space="preserve">each </w:t>
      </w:r>
      <w:r w:rsidR="00A80750" w:rsidRPr="004D4C57">
        <w:rPr>
          <w:color w:val="000000" w:themeColor="text1"/>
        </w:rPr>
        <w:t xml:space="preserve">item on a </w:t>
      </w:r>
      <w:r w:rsidR="002C2E9D" w:rsidRPr="004D4C57">
        <w:rPr>
          <w:color w:val="000000" w:themeColor="text1"/>
        </w:rPr>
        <w:t xml:space="preserve">four-point scale (1 = </w:t>
      </w:r>
      <w:r w:rsidR="002C2E9D" w:rsidRPr="004D4C57">
        <w:rPr>
          <w:i/>
          <w:color w:val="000000" w:themeColor="text1"/>
        </w:rPr>
        <w:t>not at all</w:t>
      </w:r>
      <w:r w:rsidR="002C2E9D" w:rsidRPr="004D4C57">
        <w:rPr>
          <w:color w:val="000000" w:themeColor="text1"/>
        </w:rPr>
        <w:t xml:space="preserve">, 4 = </w:t>
      </w:r>
      <w:r w:rsidR="002C2E9D" w:rsidRPr="004D4C57">
        <w:rPr>
          <w:i/>
          <w:color w:val="000000" w:themeColor="text1"/>
        </w:rPr>
        <w:t>a lot</w:t>
      </w:r>
      <w:r w:rsidR="002C2E9D" w:rsidRPr="004D4C57">
        <w:rPr>
          <w:color w:val="000000" w:themeColor="text1"/>
        </w:rPr>
        <w:t xml:space="preserve">; </w:t>
      </w:r>
      <w:r w:rsidR="004F55F6" w:rsidRPr="004D4C57">
        <w:rPr>
          <w:i/>
          <w:iCs/>
          <w:color w:val="000000" w:themeColor="text1"/>
          <w:lang w:val="en-CA"/>
        </w:rPr>
        <w:t>M</w:t>
      </w:r>
      <w:r w:rsidR="004F55F6" w:rsidRPr="004D4C57">
        <w:rPr>
          <w:color w:val="000000" w:themeColor="text1"/>
          <w:lang w:val="en-CA"/>
        </w:rPr>
        <w:t xml:space="preserve"> = 2.12, </w:t>
      </w:r>
      <w:r w:rsidR="004F55F6" w:rsidRPr="004D4C57">
        <w:rPr>
          <w:i/>
          <w:iCs/>
          <w:color w:val="000000" w:themeColor="text1"/>
          <w:lang w:val="en-CA"/>
        </w:rPr>
        <w:t>SD</w:t>
      </w:r>
      <w:r w:rsidR="004F55F6" w:rsidRPr="004D4C57">
        <w:rPr>
          <w:color w:val="000000" w:themeColor="text1"/>
          <w:lang w:val="en-CA"/>
        </w:rPr>
        <w:t xml:space="preserve"> = 0.62, </w:t>
      </w:r>
      <w:r w:rsidR="004F55F6" w:rsidRPr="004D4C57">
        <w:rPr>
          <w:color w:val="000000" w:themeColor="text1"/>
        </w:rPr>
        <w:t xml:space="preserve">range = 1-4, </w:t>
      </w:r>
      <w:r w:rsidR="004F55F6" w:rsidRPr="004D4C57">
        <w:rPr>
          <w:color w:val="000000" w:themeColor="text1"/>
          <w:lang w:val="en-CA"/>
        </w:rPr>
        <w:t>Skewness = 0.22, Kurtosis = -0.33</w:t>
      </w:r>
      <w:r w:rsidR="00643B17" w:rsidRPr="004D4C57">
        <w:rPr>
          <w:color w:val="000000" w:themeColor="text1"/>
          <w:lang w:val="en-CA"/>
        </w:rPr>
        <w:t xml:space="preserve">, </w:t>
      </w:r>
      <w:r w:rsidR="00643B17" w:rsidRPr="004D4C57">
        <w:rPr>
          <w:color w:val="000000" w:themeColor="text1"/>
          <w:lang w:val="en-CA"/>
        </w:rPr>
        <w:sym w:font="Symbol" w:char="F061"/>
      </w:r>
      <w:r w:rsidR="00643B17" w:rsidRPr="004D4C57">
        <w:rPr>
          <w:color w:val="000000" w:themeColor="text1"/>
          <w:lang w:val="en-CA"/>
        </w:rPr>
        <w:t xml:space="preserve"> = .51</w:t>
      </w:r>
      <w:r w:rsidR="00751CA9" w:rsidRPr="004D4C57">
        <w:rPr>
          <w:color w:val="000000" w:themeColor="text1"/>
          <w:lang w:val="en-CA"/>
        </w:rPr>
        <w:t>)</w:t>
      </w:r>
      <w:r w:rsidR="002C2E9D" w:rsidRPr="004D4C57">
        <w:rPr>
          <w:color w:val="000000" w:themeColor="text1"/>
        </w:rPr>
        <w:t>.</w:t>
      </w:r>
      <w:r w:rsidR="00EA2608" w:rsidRPr="004D4C57">
        <w:rPr>
          <w:color w:val="000000" w:themeColor="text1"/>
        </w:rPr>
        <w:t xml:space="preserve"> See the OSM for details on </w:t>
      </w:r>
      <w:r w:rsidR="00735D7A" w:rsidRPr="004D4C57">
        <w:rPr>
          <w:color w:val="000000" w:themeColor="text1"/>
        </w:rPr>
        <w:t xml:space="preserve">scale </w:t>
      </w:r>
      <w:r w:rsidR="000B1BE5" w:rsidRPr="004D4C57">
        <w:rPr>
          <w:color w:val="000000" w:themeColor="text1"/>
        </w:rPr>
        <w:t xml:space="preserve">items, </w:t>
      </w:r>
      <w:r w:rsidR="00EA2608" w:rsidRPr="004D4C57">
        <w:rPr>
          <w:color w:val="000000" w:themeColor="text1"/>
        </w:rPr>
        <w:t>reliability</w:t>
      </w:r>
      <w:r w:rsidR="000B1BE5" w:rsidRPr="004D4C57">
        <w:rPr>
          <w:color w:val="000000" w:themeColor="text1"/>
        </w:rPr>
        <w:t>,</w:t>
      </w:r>
      <w:r w:rsidR="00EA2608" w:rsidRPr="004D4C57">
        <w:rPr>
          <w:color w:val="000000" w:themeColor="text1"/>
        </w:rPr>
        <w:t xml:space="preserve"> and validity.</w:t>
      </w:r>
    </w:p>
    <w:p w14:paraId="4FFEA4AB" w14:textId="6CC92F6F" w:rsidR="00690FFA" w:rsidRPr="004D4C57" w:rsidRDefault="00690FFA" w:rsidP="00690FFA">
      <w:pPr>
        <w:spacing w:line="480" w:lineRule="auto"/>
        <w:rPr>
          <w:b/>
          <w:color w:val="000000" w:themeColor="text1"/>
        </w:rPr>
      </w:pPr>
      <w:r w:rsidRPr="004D4C57">
        <w:rPr>
          <w:b/>
          <w:color w:val="000000" w:themeColor="text1"/>
        </w:rPr>
        <w:t>Outcome Variables</w:t>
      </w:r>
    </w:p>
    <w:p w14:paraId="36623731" w14:textId="60128AC3" w:rsidR="00011331" w:rsidRPr="004D4C57" w:rsidRDefault="00AC3533" w:rsidP="00AC3533">
      <w:pPr>
        <w:spacing w:line="480" w:lineRule="auto"/>
        <w:ind w:firstLine="720"/>
        <w:rPr>
          <w:color w:val="000000" w:themeColor="text1"/>
        </w:rPr>
      </w:pPr>
      <w:r w:rsidRPr="004D4C57">
        <w:rPr>
          <w:b/>
          <w:color w:val="000000" w:themeColor="text1"/>
        </w:rPr>
        <w:t xml:space="preserve">MIDUS </w:t>
      </w:r>
      <w:r w:rsidR="00265256" w:rsidRPr="004D4C57">
        <w:rPr>
          <w:b/>
          <w:color w:val="000000" w:themeColor="text1"/>
        </w:rPr>
        <w:t>c</w:t>
      </w:r>
      <w:r w:rsidRPr="004D4C57">
        <w:rPr>
          <w:b/>
          <w:color w:val="000000" w:themeColor="text1"/>
        </w:rPr>
        <w:t xml:space="preserve">ognitive </w:t>
      </w:r>
      <w:r w:rsidR="00265256" w:rsidRPr="004D4C57">
        <w:rPr>
          <w:b/>
          <w:color w:val="000000" w:themeColor="text1"/>
        </w:rPr>
        <w:t>b</w:t>
      </w:r>
      <w:r w:rsidRPr="004D4C57">
        <w:rPr>
          <w:b/>
          <w:color w:val="000000" w:themeColor="text1"/>
        </w:rPr>
        <w:t>attery.</w:t>
      </w:r>
      <w:r w:rsidRPr="004D4C57">
        <w:rPr>
          <w:color w:val="000000" w:themeColor="text1"/>
        </w:rPr>
        <w:t xml:space="preserve"> </w:t>
      </w:r>
      <w:r w:rsidR="00101B0E" w:rsidRPr="004D4C57">
        <w:rPr>
          <w:color w:val="000000" w:themeColor="text1"/>
        </w:rPr>
        <w:t xml:space="preserve">The </w:t>
      </w:r>
      <w:r w:rsidRPr="004D4C57">
        <w:rPr>
          <w:color w:val="000000" w:themeColor="text1"/>
        </w:rPr>
        <w:t xml:space="preserve">Brief Test of Adult Cognition by Telephone (BTACT) </w:t>
      </w:r>
      <w:r w:rsidR="00101B0E" w:rsidRPr="004D4C57">
        <w:rPr>
          <w:color w:val="000000" w:themeColor="text1"/>
        </w:rPr>
        <w:t xml:space="preserve">was </w:t>
      </w:r>
      <w:r w:rsidRPr="004D4C57">
        <w:rPr>
          <w:color w:val="000000" w:themeColor="text1"/>
        </w:rPr>
        <w:t xml:space="preserve">used to assess episodic memory and executive functioning </w:t>
      </w:r>
      <w:r w:rsidR="00BE581C" w:rsidRPr="004D4C57">
        <w:rPr>
          <w:color w:val="000000" w:themeColor="text1"/>
        </w:rPr>
        <w:t xml:space="preserve">at MIDUS 2 and 3 </w:t>
      </w:r>
      <w:r w:rsidRPr="004D4C57">
        <w:rPr>
          <w:color w:val="000000" w:themeColor="text1"/>
        </w:rPr>
        <w:t xml:space="preserve">(Lachman &amp; Tun, 2008; Tun &amp; Lachman, 2006). </w:t>
      </w:r>
      <w:r w:rsidR="00101B0E" w:rsidRPr="004D4C57">
        <w:rPr>
          <w:color w:val="000000" w:themeColor="text1"/>
        </w:rPr>
        <w:t xml:space="preserve">Previous research has shown the BTACT </w:t>
      </w:r>
      <w:r w:rsidR="00B24866" w:rsidRPr="004D4C57">
        <w:rPr>
          <w:color w:val="000000" w:themeColor="text1"/>
        </w:rPr>
        <w:t>is</w:t>
      </w:r>
      <w:r w:rsidR="002C6836" w:rsidRPr="004D4C57">
        <w:rPr>
          <w:color w:val="000000" w:themeColor="text1"/>
        </w:rPr>
        <w:t xml:space="preserve"> </w:t>
      </w:r>
      <w:r w:rsidR="00101B0E" w:rsidRPr="004D4C57">
        <w:rPr>
          <w:color w:val="000000" w:themeColor="text1"/>
        </w:rPr>
        <w:t xml:space="preserve">a reliable and valid measure of </w:t>
      </w:r>
      <w:r w:rsidR="008D7FFB" w:rsidRPr="004D4C57">
        <w:rPr>
          <w:color w:val="000000" w:themeColor="text1"/>
        </w:rPr>
        <w:t xml:space="preserve">central dimensions of </w:t>
      </w:r>
      <w:r w:rsidR="00101B0E" w:rsidRPr="004D4C57">
        <w:rPr>
          <w:color w:val="000000" w:themeColor="text1"/>
        </w:rPr>
        <w:t xml:space="preserve">cognition </w:t>
      </w:r>
      <w:r w:rsidR="00EA0721" w:rsidRPr="004D4C57">
        <w:rPr>
          <w:color w:val="000000" w:themeColor="text1"/>
        </w:rPr>
        <w:t xml:space="preserve">involving episodic memory and executive functioning </w:t>
      </w:r>
      <w:r w:rsidR="00101B0E" w:rsidRPr="004D4C57">
        <w:rPr>
          <w:color w:val="000000" w:themeColor="text1"/>
        </w:rPr>
        <w:t>(</w:t>
      </w:r>
      <w:r w:rsidR="00AA756C" w:rsidRPr="004D4C57">
        <w:rPr>
          <w:color w:val="000000" w:themeColor="text1"/>
        </w:rPr>
        <w:t xml:space="preserve">see Hughes et al., 2018; </w:t>
      </w:r>
      <w:r w:rsidR="00101B0E" w:rsidRPr="004D4C57">
        <w:rPr>
          <w:color w:val="000000" w:themeColor="text1"/>
        </w:rPr>
        <w:t xml:space="preserve">Lachman et al., </w:t>
      </w:r>
      <w:r w:rsidR="00AA756C" w:rsidRPr="004D4C57">
        <w:rPr>
          <w:color w:val="000000" w:themeColor="text1"/>
        </w:rPr>
        <w:t xml:space="preserve">2010, </w:t>
      </w:r>
      <w:r w:rsidR="00101B0E" w:rsidRPr="004D4C57">
        <w:rPr>
          <w:color w:val="000000" w:themeColor="text1"/>
        </w:rPr>
        <w:t>2014</w:t>
      </w:r>
      <w:r w:rsidR="0029469F" w:rsidRPr="004D4C57">
        <w:rPr>
          <w:color w:val="000000" w:themeColor="text1"/>
        </w:rPr>
        <w:t>; Tun &amp; Lachman, 2006</w:t>
      </w:r>
      <w:r w:rsidR="00101B0E" w:rsidRPr="004D4C57">
        <w:rPr>
          <w:color w:val="000000" w:themeColor="text1"/>
        </w:rPr>
        <w:t xml:space="preserve">). </w:t>
      </w:r>
      <w:r w:rsidR="00EA2608" w:rsidRPr="004D4C57">
        <w:rPr>
          <w:color w:val="000000" w:themeColor="text1"/>
        </w:rPr>
        <w:t xml:space="preserve">Episodic memory was assessed using immediate and delayed recall tasks (free recall of 15 words). Executive functioning was assessed using measures of inductive reasoning, category verbal fluency, working memory span, processing speed, and attention switching and inhibitory control. </w:t>
      </w:r>
      <w:r w:rsidR="006D4985" w:rsidRPr="004D4C57">
        <w:rPr>
          <w:color w:val="000000" w:themeColor="text1"/>
        </w:rPr>
        <w:t xml:space="preserve">Episodic memory and executive functioning were calculated by averaging the standardized values of their respective subtests. </w:t>
      </w:r>
      <w:r w:rsidR="00EA2608" w:rsidRPr="004D4C57">
        <w:rPr>
          <w:color w:val="000000" w:themeColor="text1"/>
        </w:rPr>
        <w:t>See the OSM for further details on the BTACT.</w:t>
      </w:r>
    </w:p>
    <w:p w14:paraId="72563413" w14:textId="2B721FF7" w:rsidR="00714841" w:rsidRPr="004D4C57" w:rsidRDefault="00714841" w:rsidP="00714841">
      <w:pPr>
        <w:spacing w:line="480" w:lineRule="auto"/>
        <w:jc w:val="center"/>
        <w:rPr>
          <w:b/>
          <w:color w:val="000000" w:themeColor="text1"/>
        </w:rPr>
      </w:pPr>
      <w:r w:rsidRPr="004D4C57">
        <w:rPr>
          <w:b/>
          <w:color w:val="000000" w:themeColor="text1"/>
        </w:rPr>
        <w:t>Results</w:t>
      </w:r>
    </w:p>
    <w:p w14:paraId="664D951A" w14:textId="0A1E9BD4" w:rsidR="00C44902" w:rsidRPr="004D4C57" w:rsidRDefault="00C44902" w:rsidP="00690FFA">
      <w:pPr>
        <w:spacing w:line="480" w:lineRule="auto"/>
        <w:rPr>
          <w:b/>
          <w:color w:val="000000" w:themeColor="text1"/>
        </w:rPr>
      </w:pPr>
      <w:r w:rsidRPr="004D4C57">
        <w:rPr>
          <w:b/>
          <w:color w:val="000000" w:themeColor="text1"/>
        </w:rPr>
        <w:t xml:space="preserve">Preliminary </w:t>
      </w:r>
      <w:r w:rsidR="00E43F2A" w:rsidRPr="004D4C57">
        <w:rPr>
          <w:b/>
          <w:color w:val="000000" w:themeColor="text1"/>
        </w:rPr>
        <w:t xml:space="preserve">Gender </w:t>
      </w:r>
      <w:r w:rsidRPr="004D4C57">
        <w:rPr>
          <w:b/>
          <w:color w:val="000000" w:themeColor="text1"/>
        </w:rPr>
        <w:t>Analyses</w:t>
      </w:r>
    </w:p>
    <w:p w14:paraId="20D70844" w14:textId="4CC366BA" w:rsidR="00C44902" w:rsidRPr="004D4C57" w:rsidRDefault="00C44902" w:rsidP="00690FFA">
      <w:pPr>
        <w:spacing w:line="480" w:lineRule="auto"/>
        <w:rPr>
          <w:bCs/>
          <w:color w:val="000000" w:themeColor="text1"/>
        </w:rPr>
      </w:pPr>
      <w:r w:rsidRPr="004D4C57">
        <w:rPr>
          <w:bCs/>
          <w:color w:val="000000" w:themeColor="text1"/>
        </w:rPr>
        <w:tab/>
        <w:t xml:space="preserve">Correlation coefficients revealed gender differences in </w:t>
      </w:r>
      <w:r w:rsidR="00130913" w:rsidRPr="004D4C57">
        <w:rPr>
          <w:bCs/>
          <w:color w:val="000000" w:themeColor="text1"/>
        </w:rPr>
        <w:t xml:space="preserve">cognitive functioning, </w:t>
      </w:r>
      <w:r w:rsidRPr="004D4C57">
        <w:rPr>
          <w:bCs/>
          <w:color w:val="000000" w:themeColor="text1"/>
        </w:rPr>
        <w:t>socioeconomic resources</w:t>
      </w:r>
      <w:r w:rsidR="00130913" w:rsidRPr="004D4C57">
        <w:rPr>
          <w:bCs/>
          <w:color w:val="000000" w:themeColor="text1"/>
        </w:rPr>
        <w:t>, and goal disengagement</w:t>
      </w:r>
      <w:r w:rsidRPr="004D4C57">
        <w:rPr>
          <w:bCs/>
          <w:color w:val="000000" w:themeColor="text1"/>
        </w:rPr>
        <w:t xml:space="preserve"> (see Table 1).</w:t>
      </w:r>
      <w:r w:rsidR="00130913" w:rsidRPr="004D4C57">
        <w:rPr>
          <w:bCs/>
          <w:color w:val="000000" w:themeColor="text1"/>
        </w:rPr>
        <w:t xml:space="preserve"> </w:t>
      </w:r>
      <w:r w:rsidR="00C770E5" w:rsidRPr="004D4C57">
        <w:rPr>
          <w:bCs/>
          <w:color w:val="000000" w:themeColor="text1"/>
        </w:rPr>
        <w:t xml:space="preserve">Consistent with previous </w:t>
      </w:r>
      <w:r w:rsidR="00C770E5" w:rsidRPr="004D4C57">
        <w:rPr>
          <w:bCs/>
          <w:color w:val="000000" w:themeColor="text1"/>
        </w:rPr>
        <w:lastRenderedPageBreak/>
        <w:t>research, m</w:t>
      </w:r>
      <w:r w:rsidR="00130913" w:rsidRPr="004D4C57">
        <w:rPr>
          <w:bCs/>
          <w:color w:val="000000" w:themeColor="text1"/>
        </w:rPr>
        <w:t>en scored higher in executive functioning, whereas women scored higher in episodic memory</w:t>
      </w:r>
      <w:r w:rsidR="00C770E5" w:rsidRPr="004D4C57">
        <w:rPr>
          <w:bCs/>
          <w:color w:val="000000" w:themeColor="text1"/>
        </w:rPr>
        <w:t xml:space="preserve"> (Hughes et al., 2018).</w:t>
      </w:r>
      <w:r w:rsidR="00130913" w:rsidRPr="004D4C57">
        <w:rPr>
          <w:bCs/>
          <w:color w:val="000000" w:themeColor="text1"/>
        </w:rPr>
        <w:t xml:space="preserve"> S</w:t>
      </w:r>
      <w:r w:rsidR="00130913" w:rsidRPr="004D4C57">
        <w:rPr>
          <w:color w:val="000000" w:themeColor="text1"/>
        </w:rPr>
        <w:t xml:space="preserve">mall but consistent gender associations </w:t>
      </w:r>
      <w:r w:rsidR="001F22DC" w:rsidRPr="004D4C57">
        <w:rPr>
          <w:color w:val="000000" w:themeColor="text1"/>
        </w:rPr>
        <w:t xml:space="preserve">with the socioeconomic variables indicated that women reported less education, income, </w:t>
      </w:r>
      <w:r w:rsidR="00E6631D" w:rsidRPr="004D4C57">
        <w:rPr>
          <w:color w:val="000000" w:themeColor="text1"/>
        </w:rPr>
        <w:t xml:space="preserve">and </w:t>
      </w:r>
      <w:r w:rsidR="001F22DC" w:rsidRPr="004D4C57">
        <w:rPr>
          <w:color w:val="000000" w:themeColor="text1"/>
        </w:rPr>
        <w:t>lower occupational prestige than their male counterparts. Women</w:t>
      </w:r>
      <w:r w:rsidR="00130913" w:rsidRPr="004D4C57">
        <w:rPr>
          <w:color w:val="000000" w:themeColor="text1"/>
        </w:rPr>
        <w:t xml:space="preserve"> </w:t>
      </w:r>
      <w:r w:rsidR="000B1D85" w:rsidRPr="004D4C57">
        <w:rPr>
          <w:color w:val="000000" w:themeColor="text1"/>
        </w:rPr>
        <w:t xml:space="preserve">were also higher in trait-like </w:t>
      </w:r>
      <w:r w:rsidR="00130913" w:rsidRPr="004D4C57">
        <w:rPr>
          <w:color w:val="000000" w:themeColor="text1"/>
        </w:rPr>
        <w:t>goal disengagement than men.</w:t>
      </w:r>
    </w:p>
    <w:p w14:paraId="54411255" w14:textId="5538276E" w:rsidR="00690FFA" w:rsidRPr="004D4C57" w:rsidRDefault="00B340A9" w:rsidP="00690FFA">
      <w:pPr>
        <w:spacing w:line="480" w:lineRule="auto"/>
        <w:rPr>
          <w:b/>
          <w:color w:val="000000" w:themeColor="text1"/>
        </w:rPr>
      </w:pPr>
      <w:r w:rsidRPr="004D4C57">
        <w:rPr>
          <w:b/>
          <w:color w:val="000000" w:themeColor="text1"/>
        </w:rPr>
        <w:t>Data Preparation</w:t>
      </w:r>
      <w:r w:rsidR="00FC511B" w:rsidRPr="004D4C57">
        <w:rPr>
          <w:b/>
          <w:color w:val="000000" w:themeColor="text1"/>
        </w:rPr>
        <w:t xml:space="preserve"> and Rationale for Analyses</w:t>
      </w:r>
    </w:p>
    <w:p w14:paraId="78395B65" w14:textId="43DBBDC7" w:rsidR="0071494E" w:rsidRPr="004D4C57" w:rsidRDefault="00B340A9" w:rsidP="0071494E">
      <w:pPr>
        <w:spacing w:line="480" w:lineRule="auto"/>
        <w:ind w:firstLine="720"/>
        <w:rPr>
          <w:color w:val="000000" w:themeColor="text1"/>
        </w:rPr>
      </w:pPr>
      <w:r w:rsidRPr="004D4C57">
        <w:rPr>
          <w:color w:val="000000" w:themeColor="text1"/>
        </w:rPr>
        <w:t>We employed</w:t>
      </w:r>
      <w:r w:rsidR="003A6BEC" w:rsidRPr="004D4C57">
        <w:rPr>
          <w:color w:val="000000" w:themeColor="text1"/>
        </w:rPr>
        <w:t xml:space="preserve"> propensity score matching to equate those who </w:t>
      </w:r>
      <w:r w:rsidR="004B73EB" w:rsidRPr="004D4C57">
        <w:rPr>
          <w:color w:val="000000" w:themeColor="text1"/>
        </w:rPr>
        <w:t xml:space="preserve">were working at MIDUS 2 and </w:t>
      </w:r>
      <w:r w:rsidR="003A6BEC" w:rsidRPr="004D4C57">
        <w:rPr>
          <w:color w:val="000000" w:themeColor="text1"/>
        </w:rPr>
        <w:t xml:space="preserve">retired </w:t>
      </w:r>
      <w:r w:rsidR="004B73EB" w:rsidRPr="004D4C57">
        <w:rPr>
          <w:color w:val="000000" w:themeColor="text1"/>
        </w:rPr>
        <w:t>at MIDUS 3 (</w:t>
      </w:r>
      <w:r w:rsidR="004B73EB" w:rsidRPr="004D4C57">
        <w:rPr>
          <w:i/>
          <w:color w:val="000000" w:themeColor="text1"/>
        </w:rPr>
        <w:t xml:space="preserve">n </w:t>
      </w:r>
      <w:r w:rsidR="004B73EB" w:rsidRPr="004D4C57">
        <w:rPr>
          <w:color w:val="000000" w:themeColor="text1"/>
        </w:rPr>
        <w:t xml:space="preserve">= 313) </w:t>
      </w:r>
      <w:r w:rsidR="003A6BEC" w:rsidRPr="004D4C57">
        <w:rPr>
          <w:color w:val="000000" w:themeColor="text1"/>
        </w:rPr>
        <w:t xml:space="preserve">with their peers who remained employed </w:t>
      </w:r>
      <w:r w:rsidR="004B73EB" w:rsidRPr="004D4C57">
        <w:rPr>
          <w:color w:val="000000" w:themeColor="text1"/>
        </w:rPr>
        <w:t>(</w:t>
      </w:r>
      <w:r w:rsidR="004B73EB" w:rsidRPr="004D4C57">
        <w:rPr>
          <w:i/>
          <w:color w:val="000000" w:themeColor="text1"/>
        </w:rPr>
        <w:t xml:space="preserve">n </w:t>
      </w:r>
      <w:r w:rsidR="004B73EB" w:rsidRPr="004D4C57">
        <w:rPr>
          <w:color w:val="000000" w:themeColor="text1"/>
        </w:rPr>
        <w:t xml:space="preserve">= </w:t>
      </w:r>
      <w:r w:rsidR="00F91B7A" w:rsidRPr="004D4C57">
        <w:rPr>
          <w:color w:val="000000" w:themeColor="text1"/>
        </w:rPr>
        <w:t>4</w:t>
      </w:r>
      <w:r w:rsidR="004B73EB" w:rsidRPr="004D4C57">
        <w:rPr>
          <w:color w:val="000000" w:themeColor="text1"/>
        </w:rPr>
        <w:t xml:space="preserve">19) </w:t>
      </w:r>
      <w:r w:rsidR="003A6BEC" w:rsidRPr="004D4C57">
        <w:rPr>
          <w:color w:val="000000" w:themeColor="text1"/>
        </w:rPr>
        <w:t>on relevant background variables (</w:t>
      </w:r>
      <w:r w:rsidR="00B64B87" w:rsidRPr="004D4C57">
        <w:rPr>
          <w:color w:val="000000" w:themeColor="text1"/>
        </w:rPr>
        <w:t>Austin, 2011</w:t>
      </w:r>
      <w:r w:rsidR="003A6BEC" w:rsidRPr="004D4C57">
        <w:rPr>
          <w:color w:val="000000" w:themeColor="text1"/>
        </w:rPr>
        <w:t xml:space="preserve">). </w:t>
      </w:r>
      <w:r w:rsidR="00865B7A" w:rsidRPr="004D4C57">
        <w:rPr>
          <w:color w:val="000000" w:themeColor="text1"/>
        </w:rPr>
        <w:t>Specifically</w:t>
      </w:r>
      <w:r w:rsidR="004B73EB" w:rsidRPr="004D4C57">
        <w:rPr>
          <w:color w:val="000000" w:themeColor="text1"/>
        </w:rPr>
        <w:t>,</w:t>
      </w:r>
      <w:r w:rsidR="00865B7A" w:rsidRPr="004D4C57">
        <w:rPr>
          <w:color w:val="000000" w:themeColor="text1"/>
        </w:rPr>
        <w:t xml:space="preserve"> for each </w:t>
      </w:r>
      <w:r w:rsidR="004B73EB" w:rsidRPr="004D4C57">
        <w:rPr>
          <w:color w:val="000000" w:themeColor="text1"/>
        </w:rPr>
        <w:t xml:space="preserve">retired </w:t>
      </w:r>
      <w:r w:rsidR="00865B7A" w:rsidRPr="004D4C57">
        <w:rPr>
          <w:color w:val="000000" w:themeColor="text1"/>
        </w:rPr>
        <w:t xml:space="preserve">participant, a “twin” </w:t>
      </w:r>
      <w:r w:rsidR="004B73EB" w:rsidRPr="004D4C57">
        <w:rPr>
          <w:color w:val="000000" w:themeColor="text1"/>
        </w:rPr>
        <w:t xml:space="preserve">who remained employed was identified who was the same or as similar as possible on </w:t>
      </w:r>
      <w:r w:rsidR="00D45B2D" w:rsidRPr="004D4C57">
        <w:rPr>
          <w:color w:val="000000" w:themeColor="text1"/>
        </w:rPr>
        <w:t xml:space="preserve">covariates related to both the predictor (retirement status) and the outcome (cognitive functioning): </w:t>
      </w:r>
      <w:r w:rsidR="004B73EB" w:rsidRPr="004D4C57">
        <w:rPr>
          <w:color w:val="000000" w:themeColor="text1"/>
        </w:rPr>
        <w:t xml:space="preserve">age, </w:t>
      </w:r>
      <w:r w:rsidR="00F1481D" w:rsidRPr="004D4C57">
        <w:rPr>
          <w:color w:val="000000" w:themeColor="text1"/>
        </w:rPr>
        <w:t>gender</w:t>
      </w:r>
      <w:r w:rsidR="004B73EB" w:rsidRPr="004D4C57">
        <w:rPr>
          <w:color w:val="000000" w:themeColor="text1"/>
        </w:rPr>
        <w:t>, education, income, occupation, and self-reported health</w:t>
      </w:r>
      <w:r w:rsidR="00D45B2D" w:rsidRPr="004D4C57">
        <w:rPr>
          <w:color w:val="000000" w:themeColor="text1"/>
        </w:rPr>
        <w:t xml:space="preserve"> (see </w:t>
      </w:r>
      <w:r w:rsidR="00757329" w:rsidRPr="004D4C57">
        <w:rPr>
          <w:color w:val="000000" w:themeColor="text1"/>
        </w:rPr>
        <w:t xml:space="preserve">the </w:t>
      </w:r>
      <w:r w:rsidR="00D45B2D" w:rsidRPr="004D4C57">
        <w:rPr>
          <w:color w:val="000000" w:themeColor="text1"/>
        </w:rPr>
        <w:t xml:space="preserve">OSM for </w:t>
      </w:r>
      <w:r w:rsidR="00A5303E" w:rsidRPr="004D4C57">
        <w:rPr>
          <w:color w:val="000000" w:themeColor="text1"/>
        </w:rPr>
        <w:t>a</w:t>
      </w:r>
      <w:r w:rsidR="00D45B2D" w:rsidRPr="004D4C57">
        <w:rPr>
          <w:color w:val="000000" w:themeColor="text1"/>
        </w:rPr>
        <w:t xml:space="preserve"> detail</w:t>
      </w:r>
      <w:r w:rsidR="00A5303E" w:rsidRPr="004D4C57">
        <w:rPr>
          <w:color w:val="000000" w:themeColor="text1"/>
        </w:rPr>
        <w:t>ed rationale</w:t>
      </w:r>
      <w:r w:rsidR="00D45B2D" w:rsidRPr="004D4C57">
        <w:rPr>
          <w:color w:val="000000" w:themeColor="text1"/>
        </w:rPr>
        <w:t>)</w:t>
      </w:r>
      <w:r w:rsidR="004B73EB" w:rsidRPr="004D4C57">
        <w:rPr>
          <w:color w:val="000000" w:themeColor="text1"/>
        </w:rPr>
        <w:t xml:space="preserve">. </w:t>
      </w:r>
      <w:r w:rsidR="00865B7A" w:rsidRPr="004D4C57">
        <w:rPr>
          <w:color w:val="000000" w:themeColor="text1"/>
        </w:rPr>
        <w:t xml:space="preserve">Propensity score models were estimated using the </w:t>
      </w:r>
      <w:proofErr w:type="spellStart"/>
      <w:r w:rsidR="00865B7A" w:rsidRPr="004D4C57">
        <w:rPr>
          <w:color w:val="000000" w:themeColor="text1"/>
        </w:rPr>
        <w:t>MatchIt</w:t>
      </w:r>
      <w:proofErr w:type="spellEnd"/>
      <w:r w:rsidR="00865B7A" w:rsidRPr="004D4C57">
        <w:rPr>
          <w:color w:val="000000" w:themeColor="text1"/>
        </w:rPr>
        <w:t xml:space="preserve"> package for R (</w:t>
      </w:r>
      <w:r w:rsidR="00BF25C3" w:rsidRPr="004D4C57">
        <w:rPr>
          <w:color w:val="000000" w:themeColor="text1"/>
        </w:rPr>
        <w:t>Ho et al., 2011</w:t>
      </w:r>
      <w:r w:rsidR="00865B7A" w:rsidRPr="004D4C57">
        <w:rPr>
          <w:color w:val="000000" w:themeColor="text1"/>
        </w:rPr>
        <w:t xml:space="preserve">). </w:t>
      </w:r>
      <w:r w:rsidR="00D246D8" w:rsidRPr="004D4C57">
        <w:rPr>
          <w:color w:val="000000" w:themeColor="text1"/>
        </w:rPr>
        <w:t>O</w:t>
      </w:r>
      <w:r w:rsidR="005F040F" w:rsidRPr="004D4C57">
        <w:rPr>
          <w:color w:val="000000" w:themeColor="text1"/>
        </w:rPr>
        <w:t>ur</w:t>
      </w:r>
      <w:r w:rsidR="003949D0" w:rsidRPr="004D4C57">
        <w:rPr>
          <w:color w:val="000000" w:themeColor="text1"/>
        </w:rPr>
        <w:t xml:space="preserve"> </w:t>
      </w:r>
      <w:r w:rsidR="00795694" w:rsidRPr="004D4C57">
        <w:rPr>
          <w:color w:val="000000" w:themeColor="text1"/>
        </w:rPr>
        <w:t xml:space="preserve">logistic regression </w:t>
      </w:r>
      <w:r w:rsidR="003949D0" w:rsidRPr="004D4C57">
        <w:rPr>
          <w:color w:val="000000" w:themeColor="text1"/>
        </w:rPr>
        <w:t>matching algorithm employed 1:1 n</w:t>
      </w:r>
      <w:r w:rsidR="00865B7A" w:rsidRPr="004D4C57">
        <w:rPr>
          <w:color w:val="000000" w:themeColor="text1"/>
        </w:rPr>
        <w:t>earest neighbor matching</w:t>
      </w:r>
      <w:r w:rsidR="003949D0" w:rsidRPr="004D4C57">
        <w:rPr>
          <w:color w:val="000000" w:themeColor="text1"/>
        </w:rPr>
        <w:t xml:space="preserve"> with </w:t>
      </w:r>
      <w:r w:rsidR="005F040F" w:rsidRPr="004D4C57">
        <w:rPr>
          <w:color w:val="000000" w:themeColor="text1"/>
        </w:rPr>
        <w:t>a</w:t>
      </w:r>
      <w:r w:rsidR="003949D0" w:rsidRPr="004D4C57">
        <w:rPr>
          <w:color w:val="000000" w:themeColor="text1"/>
        </w:rPr>
        <w:t xml:space="preserve"> </w:t>
      </w:r>
      <w:r w:rsidR="00865B7A" w:rsidRPr="004D4C57">
        <w:rPr>
          <w:color w:val="000000" w:themeColor="text1"/>
        </w:rPr>
        <w:t xml:space="preserve">caliper </w:t>
      </w:r>
      <w:r w:rsidR="005F040F" w:rsidRPr="004D4C57">
        <w:rPr>
          <w:color w:val="000000" w:themeColor="text1"/>
        </w:rPr>
        <w:t xml:space="preserve">of ≤ .20 </w:t>
      </w:r>
      <w:r w:rsidR="003949D0" w:rsidRPr="004D4C57">
        <w:rPr>
          <w:color w:val="000000" w:themeColor="text1"/>
        </w:rPr>
        <w:t>(maximum allowable distance between matched</w:t>
      </w:r>
      <w:r w:rsidR="005F040F" w:rsidRPr="004D4C57">
        <w:rPr>
          <w:color w:val="000000" w:themeColor="text1"/>
        </w:rPr>
        <w:t xml:space="preserve"> participants</w:t>
      </w:r>
      <w:r w:rsidR="00D246D8" w:rsidRPr="004D4C57">
        <w:rPr>
          <w:color w:val="000000" w:themeColor="text1"/>
        </w:rPr>
        <w:t>; Lee &amp; Little, 2017</w:t>
      </w:r>
      <w:r w:rsidR="003949D0" w:rsidRPr="004D4C57">
        <w:rPr>
          <w:color w:val="000000" w:themeColor="text1"/>
        </w:rPr>
        <w:t>).</w:t>
      </w:r>
      <w:r w:rsidR="0001354A" w:rsidRPr="004D4C57">
        <w:rPr>
          <w:color w:val="000000" w:themeColor="text1"/>
        </w:rPr>
        <w:t xml:space="preserve"> Suitable </w:t>
      </w:r>
      <w:r w:rsidR="00F91B7A" w:rsidRPr="004D4C57">
        <w:rPr>
          <w:color w:val="000000" w:themeColor="text1"/>
        </w:rPr>
        <w:t xml:space="preserve">neighbors who remained employed </w:t>
      </w:r>
      <w:r w:rsidR="0001354A" w:rsidRPr="004D4C57">
        <w:rPr>
          <w:color w:val="000000" w:themeColor="text1"/>
        </w:rPr>
        <w:t xml:space="preserve">were </w:t>
      </w:r>
      <w:r w:rsidR="00F91B7A" w:rsidRPr="004D4C57">
        <w:rPr>
          <w:color w:val="000000" w:themeColor="text1"/>
        </w:rPr>
        <w:t>identified for 268 participants who retired.</w:t>
      </w:r>
      <w:r w:rsidR="00E87711" w:rsidRPr="004D4C57">
        <w:rPr>
          <w:color w:val="000000" w:themeColor="text1"/>
        </w:rPr>
        <w:t xml:space="preserve"> </w:t>
      </w:r>
      <w:r w:rsidR="00951C89" w:rsidRPr="004D4C57">
        <w:rPr>
          <w:color w:val="000000" w:themeColor="text1"/>
        </w:rPr>
        <w:t>T</w:t>
      </w:r>
      <w:r w:rsidR="00E87711" w:rsidRPr="004D4C57">
        <w:rPr>
          <w:color w:val="000000" w:themeColor="text1"/>
        </w:rPr>
        <w:t>he matching algorithm successful</w:t>
      </w:r>
      <w:r w:rsidR="002619D0" w:rsidRPr="004D4C57">
        <w:rPr>
          <w:color w:val="000000" w:themeColor="text1"/>
        </w:rPr>
        <w:t>ly</w:t>
      </w:r>
      <w:r w:rsidR="00E87711" w:rsidRPr="004D4C57">
        <w:rPr>
          <w:color w:val="000000" w:themeColor="text1"/>
        </w:rPr>
        <w:t xml:space="preserve"> </w:t>
      </w:r>
      <w:r w:rsidR="002619D0" w:rsidRPr="004D4C57">
        <w:rPr>
          <w:color w:val="000000" w:themeColor="text1"/>
        </w:rPr>
        <w:t xml:space="preserve">equated </w:t>
      </w:r>
      <w:r w:rsidR="00E87711" w:rsidRPr="004D4C57">
        <w:rPr>
          <w:color w:val="000000" w:themeColor="text1"/>
        </w:rPr>
        <w:t>the two groups</w:t>
      </w:r>
      <w:r w:rsidR="006D29DE" w:rsidRPr="004D4C57">
        <w:rPr>
          <w:color w:val="000000" w:themeColor="text1"/>
        </w:rPr>
        <w:t xml:space="preserve"> on the matching variables</w:t>
      </w:r>
      <w:r w:rsidR="00951C89" w:rsidRPr="004D4C57">
        <w:rPr>
          <w:color w:val="000000" w:themeColor="text1"/>
        </w:rPr>
        <w:t xml:space="preserve"> (see Figure 1)</w:t>
      </w:r>
      <w:r w:rsidR="00E87711" w:rsidRPr="004D4C57">
        <w:rPr>
          <w:color w:val="000000" w:themeColor="text1"/>
        </w:rPr>
        <w:t>.</w:t>
      </w:r>
      <w:r w:rsidR="0071494E" w:rsidRPr="004D4C57">
        <w:rPr>
          <w:color w:val="000000" w:themeColor="text1"/>
        </w:rPr>
        <w:t xml:space="preserve"> T</w:t>
      </w:r>
      <w:r w:rsidR="0071494E" w:rsidRPr="004D4C57">
        <w:rPr>
          <w:color w:val="000000" w:themeColor="text1"/>
          <w:lang w:val="en-CA"/>
        </w:rPr>
        <w:t xml:space="preserve">he propensity score matched samples </w:t>
      </w:r>
      <w:r w:rsidR="00EE5E09" w:rsidRPr="004D4C57">
        <w:rPr>
          <w:color w:val="000000" w:themeColor="text1"/>
          <w:lang w:val="en-CA"/>
        </w:rPr>
        <w:t xml:space="preserve">also </w:t>
      </w:r>
      <w:r w:rsidR="0071494E" w:rsidRPr="004D4C57">
        <w:rPr>
          <w:color w:val="000000" w:themeColor="text1"/>
          <w:lang w:val="en-CA"/>
        </w:rPr>
        <w:t>did not differ on baseline episodic memory</w:t>
      </w:r>
      <w:r w:rsidR="00951C89" w:rsidRPr="004D4C57">
        <w:rPr>
          <w:color w:val="000000" w:themeColor="text1"/>
          <w:lang w:val="en-CA"/>
        </w:rPr>
        <w:t xml:space="preserve">, </w:t>
      </w:r>
      <w:r w:rsidR="0071494E" w:rsidRPr="004D4C57">
        <w:rPr>
          <w:color w:val="000000" w:themeColor="text1"/>
          <w:lang w:val="en-CA"/>
        </w:rPr>
        <w:t>executive functioning</w:t>
      </w:r>
      <w:r w:rsidR="00951C89" w:rsidRPr="004D4C57">
        <w:rPr>
          <w:color w:val="000000" w:themeColor="text1"/>
          <w:lang w:val="en-CA"/>
        </w:rPr>
        <w:t>, or an array of</w:t>
      </w:r>
      <w:r w:rsidR="003C1A56" w:rsidRPr="004D4C57">
        <w:rPr>
          <w:color w:val="000000" w:themeColor="text1"/>
          <w:lang w:val="en-CA"/>
        </w:rPr>
        <w:t xml:space="preserve"> demographic, psychosocial, or health-related variables</w:t>
      </w:r>
      <w:r w:rsidR="0071494E" w:rsidRPr="004D4C57">
        <w:rPr>
          <w:color w:val="000000" w:themeColor="text1"/>
          <w:lang w:val="en-CA"/>
        </w:rPr>
        <w:t xml:space="preserve"> (</w:t>
      </w:r>
      <w:proofErr w:type="spellStart"/>
      <w:r w:rsidR="0071494E" w:rsidRPr="004D4C57">
        <w:rPr>
          <w:i/>
          <w:iCs/>
          <w:color w:val="000000" w:themeColor="text1"/>
          <w:lang w:val="en-CA"/>
        </w:rPr>
        <w:t>p</w:t>
      </w:r>
      <w:r w:rsidR="0071494E" w:rsidRPr="004D4C57">
        <w:rPr>
          <w:color w:val="000000" w:themeColor="text1"/>
          <w:lang w:val="en-CA"/>
        </w:rPr>
        <w:t>s</w:t>
      </w:r>
      <w:proofErr w:type="spellEnd"/>
      <w:r w:rsidR="0071494E" w:rsidRPr="004D4C57">
        <w:rPr>
          <w:color w:val="000000" w:themeColor="text1"/>
          <w:lang w:val="en-CA"/>
        </w:rPr>
        <w:t xml:space="preserve"> &gt; .05</w:t>
      </w:r>
      <w:r w:rsidR="003C1A56" w:rsidRPr="004D4C57">
        <w:rPr>
          <w:color w:val="000000" w:themeColor="text1"/>
          <w:lang w:val="en-CA"/>
        </w:rPr>
        <w:t>; see Figure S</w:t>
      </w:r>
      <w:r w:rsidR="00EE5E09" w:rsidRPr="004D4C57">
        <w:rPr>
          <w:color w:val="000000" w:themeColor="text1"/>
          <w:lang w:val="en-CA"/>
        </w:rPr>
        <w:t>2</w:t>
      </w:r>
      <w:r w:rsidR="0071494E" w:rsidRPr="004D4C57">
        <w:rPr>
          <w:color w:val="000000" w:themeColor="text1"/>
          <w:lang w:val="en-CA"/>
        </w:rPr>
        <w:t>).</w:t>
      </w:r>
    </w:p>
    <w:p w14:paraId="2C1EBC44" w14:textId="78F0C2B5" w:rsidR="00532E1A" w:rsidRPr="004D4C57" w:rsidRDefault="00532E1A" w:rsidP="00DC6EE6">
      <w:pPr>
        <w:spacing w:line="480" w:lineRule="auto"/>
        <w:rPr>
          <w:color w:val="000000" w:themeColor="text1"/>
        </w:rPr>
      </w:pPr>
      <w:r w:rsidRPr="004D4C57">
        <w:rPr>
          <w:color w:val="000000" w:themeColor="text1"/>
        </w:rPr>
        <w:tab/>
      </w:r>
      <w:r w:rsidR="0050634E" w:rsidRPr="004D4C57">
        <w:rPr>
          <w:color w:val="000000" w:themeColor="text1"/>
        </w:rPr>
        <w:t xml:space="preserve">Hierarchical </w:t>
      </w:r>
      <w:r w:rsidR="009F62E9" w:rsidRPr="004D4C57">
        <w:rPr>
          <w:color w:val="000000" w:themeColor="text1"/>
        </w:rPr>
        <w:t xml:space="preserve">OLS </w:t>
      </w:r>
      <w:r w:rsidR="0050634E" w:rsidRPr="004D4C57">
        <w:rPr>
          <w:color w:val="000000" w:themeColor="text1"/>
        </w:rPr>
        <w:t>r</w:t>
      </w:r>
      <w:r w:rsidRPr="004D4C57">
        <w:rPr>
          <w:color w:val="000000" w:themeColor="text1"/>
        </w:rPr>
        <w:t>egression analyses assess</w:t>
      </w:r>
      <w:r w:rsidR="004223B1" w:rsidRPr="004D4C57">
        <w:rPr>
          <w:color w:val="000000" w:themeColor="text1"/>
        </w:rPr>
        <w:t>ed</w:t>
      </w:r>
      <w:r w:rsidRPr="004D4C57">
        <w:rPr>
          <w:color w:val="000000" w:themeColor="text1"/>
        </w:rPr>
        <w:t xml:space="preserve"> differences in nine-year cognitive functioning between the matched samples.</w:t>
      </w:r>
      <w:r w:rsidR="005817D6" w:rsidRPr="004D4C57">
        <w:rPr>
          <w:color w:val="000000" w:themeColor="text1"/>
        </w:rPr>
        <w:t xml:space="preserve"> </w:t>
      </w:r>
      <w:r w:rsidR="0050634E" w:rsidRPr="004D4C57">
        <w:rPr>
          <w:color w:val="000000" w:themeColor="text1"/>
        </w:rPr>
        <w:t>Model 1</w:t>
      </w:r>
      <w:r w:rsidRPr="004D4C57">
        <w:rPr>
          <w:color w:val="000000" w:themeColor="text1"/>
        </w:rPr>
        <w:t xml:space="preserve"> </w:t>
      </w:r>
      <w:r w:rsidR="007F0EA4" w:rsidRPr="004D4C57">
        <w:rPr>
          <w:color w:val="000000" w:themeColor="text1"/>
        </w:rPr>
        <w:t xml:space="preserve">examined whether </w:t>
      </w:r>
      <w:r w:rsidR="008021F2" w:rsidRPr="004D4C57">
        <w:rPr>
          <w:color w:val="000000" w:themeColor="text1"/>
        </w:rPr>
        <w:t>retirement</w:t>
      </w:r>
      <w:r w:rsidR="007F0EA4" w:rsidRPr="004D4C57">
        <w:rPr>
          <w:color w:val="000000" w:themeColor="text1"/>
        </w:rPr>
        <w:t xml:space="preserve"> status </w:t>
      </w:r>
      <w:r w:rsidR="009A75FA" w:rsidRPr="004D4C57">
        <w:rPr>
          <w:color w:val="000000" w:themeColor="text1"/>
        </w:rPr>
        <w:t>predicted</w:t>
      </w:r>
      <w:r w:rsidR="007F0EA4" w:rsidRPr="004D4C57">
        <w:rPr>
          <w:color w:val="000000" w:themeColor="text1"/>
        </w:rPr>
        <w:t xml:space="preserve"> differential change in </w:t>
      </w:r>
      <w:r w:rsidRPr="004D4C57">
        <w:rPr>
          <w:color w:val="000000" w:themeColor="text1"/>
        </w:rPr>
        <w:t xml:space="preserve">cognitive functioning </w:t>
      </w:r>
      <w:r w:rsidR="007F0EA4" w:rsidRPr="004D4C57">
        <w:rPr>
          <w:color w:val="000000" w:themeColor="text1"/>
        </w:rPr>
        <w:t xml:space="preserve">for the matched samples </w:t>
      </w:r>
      <w:r w:rsidRPr="004D4C57">
        <w:rPr>
          <w:color w:val="000000" w:themeColor="text1"/>
        </w:rPr>
        <w:t xml:space="preserve">(main effect models). </w:t>
      </w:r>
      <w:r w:rsidR="0050634E" w:rsidRPr="004D4C57">
        <w:rPr>
          <w:color w:val="000000" w:themeColor="text1"/>
        </w:rPr>
        <w:t xml:space="preserve">Model 2 incorporated goal disengagement as a moderator of retirement status effects </w:t>
      </w:r>
      <w:r w:rsidR="0050634E" w:rsidRPr="004D4C57">
        <w:rPr>
          <w:color w:val="000000" w:themeColor="text1"/>
        </w:rPr>
        <w:lastRenderedPageBreak/>
        <w:t xml:space="preserve">(two-way interaction models). Model 3 examined whether gender further moderated retirement status effects </w:t>
      </w:r>
      <w:r w:rsidRPr="004D4C57">
        <w:rPr>
          <w:color w:val="000000" w:themeColor="text1"/>
        </w:rPr>
        <w:t>(</w:t>
      </w:r>
      <w:r w:rsidR="0050634E" w:rsidRPr="004D4C57">
        <w:rPr>
          <w:color w:val="000000" w:themeColor="text1"/>
        </w:rPr>
        <w:t xml:space="preserve">three-way </w:t>
      </w:r>
      <w:r w:rsidRPr="004D4C57">
        <w:rPr>
          <w:color w:val="000000" w:themeColor="text1"/>
        </w:rPr>
        <w:t>interaction models). All regression models controlled for baseline cognitive functioning (autoregressive effects)</w:t>
      </w:r>
      <w:r w:rsidR="00940CF7" w:rsidRPr="004D4C57">
        <w:rPr>
          <w:color w:val="000000" w:themeColor="text1"/>
        </w:rPr>
        <w:t xml:space="preserve"> which</w:t>
      </w:r>
      <w:r w:rsidRPr="004D4C57">
        <w:rPr>
          <w:color w:val="000000" w:themeColor="text1"/>
        </w:rPr>
        <w:t xml:space="preserve"> permitted </w:t>
      </w:r>
      <w:r w:rsidR="00940CF7" w:rsidRPr="004D4C57">
        <w:rPr>
          <w:color w:val="000000" w:themeColor="text1"/>
        </w:rPr>
        <w:t>a</w:t>
      </w:r>
      <w:r w:rsidRPr="004D4C57">
        <w:rPr>
          <w:color w:val="000000" w:themeColor="text1"/>
        </w:rPr>
        <w:t xml:space="preserve"> test </w:t>
      </w:r>
      <w:r w:rsidR="00940CF7" w:rsidRPr="004D4C57">
        <w:rPr>
          <w:color w:val="000000" w:themeColor="text1"/>
        </w:rPr>
        <w:t xml:space="preserve">of </w:t>
      </w:r>
      <w:r w:rsidRPr="004D4C57">
        <w:rPr>
          <w:color w:val="000000" w:themeColor="text1"/>
        </w:rPr>
        <w:t xml:space="preserve">differential changes in cognitive functioning between the matched samples (Cohen, Cohen, West, &amp; Aiken, 2003). </w:t>
      </w:r>
    </w:p>
    <w:p w14:paraId="2060EADC" w14:textId="77777777" w:rsidR="005C1952" w:rsidRPr="004D4C57" w:rsidRDefault="005C1952" w:rsidP="005C1952">
      <w:pPr>
        <w:spacing w:line="480" w:lineRule="auto"/>
        <w:rPr>
          <w:b/>
          <w:bCs/>
          <w:color w:val="000000" w:themeColor="text1"/>
        </w:rPr>
      </w:pPr>
      <w:r w:rsidRPr="004D4C57">
        <w:rPr>
          <w:b/>
          <w:bCs/>
          <w:color w:val="000000" w:themeColor="text1"/>
        </w:rPr>
        <w:t>Model Equations</w:t>
      </w:r>
    </w:p>
    <w:p w14:paraId="411EAAC6" w14:textId="77777777" w:rsidR="005C1952" w:rsidRPr="004D4C57" w:rsidRDefault="005C1952" w:rsidP="005C1952">
      <w:pPr>
        <w:spacing w:line="480" w:lineRule="auto"/>
        <w:ind w:firstLine="720"/>
        <w:rPr>
          <w:color w:val="000000" w:themeColor="text1"/>
        </w:rPr>
      </w:pPr>
      <w:r w:rsidRPr="004D4C57">
        <w:rPr>
          <w:color w:val="000000" w:themeColor="text1"/>
        </w:rPr>
        <w:t>OLS regression equations were specified as follows for Models 1-3. Note that RS = retirement status and GD = goal disengagement.</w:t>
      </w:r>
    </w:p>
    <w:p w14:paraId="508A5841" w14:textId="77777777" w:rsidR="005C1952" w:rsidRPr="004D4C57" w:rsidRDefault="005C1952" w:rsidP="005C1952">
      <w:pPr>
        <w:spacing w:line="480" w:lineRule="auto"/>
        <w:ind w:left="709"/>
        <w:rPr>
          <w:color w:val="000000" w:themeColor="text1"/>
        </w:rPr>
      </w:pPr>
      <m:oMath>
        <m:r>
          <m:rPr>
            <m:sty m:val="b"/>
          </m:rPr>
          <w:rPr>
            <w:rFonts w:ascii="Cambria Math" w:hAnsi="Cambria Math"/>
            <w:color w:val="000000" w:themeColor="text1"/>
          </w:rPr>
          <m:t>Model 1.</m:t>
        </m:r>
        <m:r>
          <w:rPr>
            <w:rFonts w:ascii="Cambria Math" w:hAnsi="Cambria Math"/>
            <w:color w:val="000000" w:themeColor="text1"/>
          </w:rPr>
          <m:t xml:space="preserve"> </m:t>
        </m:r>
        <m:acc>
          <m:accPr>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sSub>
          <m:sSubPr>
            <m:ctrlPr>
              <w:rPr>
                <w:rFonts w:ascii="Cambria Math" w:hAnsi="Cambria Math"/>
                <w:i/>
                <w:color w:val="000000" w:themeColor="text1"/>
                <w:vertAlign w:val="subscript"/>
              </w:rPr>
            </m:ctrlPr>
          </m:sSubPr>
          <m:e>
            <m:r>
              <w:rPr>
                <w:rFonts w:ascii="Cambria Math" w:hAnsi="Cambria Math"/>
                <w:color w:val="000000" w:themeColor="text1"/>
                <w:vertAlign w:val="subscript"/>
              </w:rPr>
              <m:t>b</m:t>
            </m:r>
          </m:e>
          <m:sub>
            <m:r>
              <w:rPr>
                <w:rFonts w:ascii="Cambria Math" w:hAnsi="Cambria Math"/>
                <w:color w:val="000000" w:themeColor="text1"/>
                <w:vertAlign w:val="subscript"/>
              </w:rPr>
              <m:t>0</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Baseline+</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r>
          <w:rPr>
            <w:rFonts w:ascii="Cambria Math" w:hAnsi="Cambria Math"/>
            <w:color w:val="000000" w:themeColor="text1"/>
          </w:rPr>
          <m:t>RS+</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3</m:t>
            </m:r>
          </m:sub>
        </m:sSub>
        <m:r>
          <w:rPr>
            <w:rFonts w:ascii="Cambria Math" w:hAnsi="Cambria Math"/>
            <w:color w:val="000000" w:themeColor="text1"/>
          </w:rPr>
          <m:t>GD+</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4</m:t>
            </m:r>
          </m:sub>
        </m:sSub>
        <m:r>
          <w:rPr>
            <w:rFonts w:ascii="Cambria Math" w:hAnsi="Cambria Math"/>
            <w:color w:val="000000" w:themeColor="text1"/>
          </w:rPr>
          <m:t>Gender</m:t>
        </m:r>
      </m:oMath>
      <w:r w:rsidRPr="004D4C57">
        <w:rPr>
          <w:color w:val="000000" w:themeColor="text1"/>
        </w:rPr>
        <w:t xml:space="preserve"> </w:t>
      </w:r>
    </w:p>
    <w:p w14:paraId="666885C9" w14:textId="77777777" w:rsidR="005C1952" w:rsidRPr="004D4C57" w:rsidRDefault="005C1952" w:rsidP="005C1952">
      <w:pPr>
        <w:spacing w:line="480" w:lineRule="auto"/>
        <w:ind w:left="709"/>
        <w:rPr>
          <w:color w:val="000000" w:themeColor="text1"/>
        </w:rPr>
      </w:pPr>
      <m:oMathPara>
        <m:oMathParaPr>
          <m:jc m:val="left"/>
        </m:oMathParaPr>
        <m:oMath>
          <m:r>
            <m:rPr>
              <m:sty m:val="b"/>
            </m:rPr>
            <w:rPr>
              <w:rFonts w:ascii="Cambria Math" w:hAnsi="Cambria Math"/>
              <w:color w:val="000000" w:themeColor="text1"/>
            </w:rPr>
            <m:t xml:space="preserve">Model 2. </m:t>
          </m:r>
          <m:acc>
            <m:accPr>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sSub>
            <m:sSubPr>
              <m:ctrlPr>
                <w:rPr>
                  <w:rFonts w:ascii="Cambria Math" w:hAnsi="Cambria Math"/>
                  <w:i/>
                  <w:color w:val="000000" w:themeColor="text1"/>
                  <w:vertAlign w:val="subscript"/>
                </w:rPr>
              </m:ctrlPr>
            </m:sSubPr>
            <m:e>
              <m:r>
                <w:rPr>
                  <w:rFonts w:ascii="Cambria Math" w:hAnsi="Cambria Math"/>
                  <w:color w:val="000000" w:themeColor="text1"/>
                  <w:vertAlign w:val="subscript"/>
                </w:rPr>
                <m:t>b</m:t>
              </m:r>
            </m:e>
            <m:sub>
              <m:r>
                <w:rPr>
                  <w:rFonts w:ascii="Cambria Math" w:hAnsi="Cambria Math"/>
                  <w:color w:val="000000" w:themeColor="text1"/>
                  <w:vertAlign w:val="subscript"/>
                </w:rPr>
                <m:t>0</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Baseline+</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r>
            <w:rPr>
              <w:rFonts w:ascii="Cambria Math" w:hAnsi="Cambria Math"/>
              <w:color w:val="000000" w:themeColor="text1"/>
            </w:rPr>
            <m:t>RS+</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3</m:t>
              </m:r>
            </m:sub>
          </m:sSub>
          <m:r>
            <w:rPr>
              <w:rFonts w:ascii="Cambria Math" w:hAnsi="Cambria Math"/>
              <w:color w:val="000000" w:themeColor="text1"/>
            </w:rPr>
            <m:t>GD+</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4</m:t>
              </m:r>
            </m:sub>
          </m:sSub>
          <m:r>
            <w:rPr>
              <w:rFonts w:ascii="Cambria Math" w:hAnsi="Cambria Math"/>
              <w:color w:val="000000" w:themeColor="text1"/>
            </w:rPr>
            <m:t>Gender+</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5</m:t>
              </m:r>
            </m:sub>
          </m:sSub>
          <m:r>
            <w:rPr>
              <w:rFonts w:ascii="Cambria Math" w:hAnsi="Cambria Math"/>
              <w:color w:val="000000" w:themeColor="text1"/>
            </w:rPr>
            <m:t>RS×GD</m:t>
          </m:r>
        </m:oMath>
      </m:oMathPara>
    </w:p>
    <w:p w14:paraId="52E1577F" w14:textId="77777777" w:rsidR="005C1952" w:rsidRPr="004D4C57" w:rsidRDefault="005C1952" w:rsidP="005C1952">
      <w:pPr>
        <w:spacing w:line="480" w:lineRule="auto"/>
        <w:ind w:left="709"/>
        <w:rPr>
          <w:color w:val="000000" w:themeColor="text1"/>
        </w:rPr>
      </w:pPr>
      <m:oMathPara>
        <m:oMathParaPr>
          <m:jc m:val="left"/>
        </m:oMathParaPr>
        <m:oMath>
          <m:r>
            <m:rPr>
              <m:sty m:val="b"/>
            </m:rPr>
            <w:rPr>
              <w:rFonts w:ascii="Cambria Math" w:hAnsi="Cambria Math"/>
              <w:color w:val="000000" w:themeColor="text1"/>
            </w:rPr>
            <m:t>Model 3.</m:t>
          </m:r>
          <m:r>
            <m:rPr>
              <m:sty m:val="p"/>
            </m:rPr>
            <w:rPr>
              <w:rFonts w:ascii="Cambria Math" w:hAnsi="Cambria Math"/>
              <w:color w:val="000000" w:themeColor="text1"/>
            </w:rPr>
            <m:t xml:space="preserve"> </m:t>
          </m:r>
          <m:acc>
            <m:accPr>
              <m:ctrlPr>
                <w:rPr>
                  <w:rFonts w:ascii="Cambria Math" w:hAnsi="Cambria Math"/>
                  <w:i/>
                  <w:color w:val="000000" w:themeColor="text1"/>
                </w:rPr>
              </m:ctrlPr>
            </m:accPr>
            <m:e>
              <m:r>
                <w:rPr>
                  <w:rFonts w:ascii="Cambria Math" w:hAnsi="Cambria Math"/>
                  <w:color w:val="000000" w:themeColor="text1"/>
                </w:rPr>
                <m:t>Y</m:t>
              </m:r>
            </m:e>
          </m:acc>
          <m:r>
            <w:rPr>
              <w:rFonts w:ascii="Cambria Math" w:hAnsi="Cambria Math"/>
              <w:color w:val="000000" w:themeColor="text1"/>
            </w:rPr>
            <m:t>=</m:t>
          </m:r>
          <m:sSub>
            <m:sSubPr>
              <m:ctrlPr>
                <w:rPr>
                  <w:rFonts w:ascii="Cambria Math" w:hAnsi="Cambria Math"/>
                  <w:i/>
                  <w:color w:val="000000" w:themeColor="text1"/>
                  <w:vertAlign w:val="subscript"/>
                </w:rPr>
              </m:ctrlPr>
            </m:sSubPr>
            <m:e>
              <m:r>
                <w:rPr>
                  <w:rFonts w:ascii="Cambria Math" w:hAnsi="Cambria Math"/>
                  <w:color w:val="000000" w:themeColor="text1"/>
                  <w:vertAlign w:val="subscript"/>
                </w:rPr>
                <m:t>b</m:t>
              </m:r>
            </m:e>
            <m:sub>
              <m:r>
                <w:rPr>
                  <w:rFonts w:ascii="Cambria Math" w:hAnsi="Cambria Math"/>
                  <w:color w:val="000000" w:themeColor="text1"/>
                  <w:vertAlign w:val="subscript"/>
                </w:rPr>
                <m:t>0</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1</m:t>
              </m:r>
            </m:sub>
          </m:sSub>
          <m:r>
            <w:rPr>
              <w:rFonts w:ascii="Cambria Math" w:hAnsi="Cambria Math"/>
              <w:color w:val="000000" w:themeColor="text1"/>
            </w:rPr>
            <m:t>Baseline+</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2</m:t>
              </m:r>
            </m:sub>
          </m:sSub>
          <m:r>
            <w:rPr>
              <w:rFonts w:ascii="Cambria Math" w:hAnsi="Cambria Math"/>
              <w:color w:val="000000" w:themeColor="text1"/>
            </w:rPr>
            <m:t>RS+</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3</m:t>
              </m:r>
            </m:sub>
          </m:sSub>
          <m:r>
            <w:rPr>
              <w:rFonts w:ascii="Cambria Math" w:hAnsi="Cambria Math"/>
              <w:color w:val="000000" w:themeColor="text1"/>
            </w:rPr>
            <m:t>GD+</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4</m:t>
              </m:r>
            </m:sub>
          </m:sSub>
          <m:r>
            <w:rPr>
              <w:rFonts w:ascii="Cambria Math" w:hAnsi="Cambria Math"/>
              <w:color w:val="000000" w:themeColor="text1"/>
            </w:rPr>
            <m:t>Gender+</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5</m:t>
              </m:r>
            </m:sub>
          </m:sSub>
          <m:r>
            <w:rPr>
              <w:rFonts w:ascii="Cambria Math" w:hAnsi="Cambria Math"/>
              <w:color w:val="000000" w:themeColor="text1"/>
            </w:rPr>
            <m:t>RS×GD+</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6</m:t>
              </m:r>
            </m:sub>
          </m:sSub>
          <m:r>
            <w:rPr>
              <w:rFonts w:ascii="Cambria Math" w:hAnsi="Cambria Math"/>
              <w:color w:val="000000" w:themeColor="text1"/>
            </w:rPr>
            <m:t>RS×Gender+</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7</m:t>
              </m:r>
            </m:sub>
          </m:sSub>
          <m:r>
            <w:rPr>
              <w:rFonts w:ascii="Cambria Math" w:hAnsi="Cambria Math"/>
              <w:color w:val="000000" w:themeColor="text1"/>
            </w:rPr>
            <m:t>GD×Gender+</m:t>
          </m:r>
          <m:sSub>
            <m:sSubPr>
              <m:ctrlPr>
                <w:rPr>
                  <w:rFonts w:ascii="Cambria Math" w:hAnsi="Cambria Math"/>
                  <w:i/>
                  <w:color w:val="000000" w:themeColor="text1"/>
                </w:rPr>
              </m:ctrlPr>
            </m:sSubPr>
            <m:e>
              <m:r>
                <w:rPr>
                  <w:rFonts w:ascii="Cambria Math" w:hAnsi="Cambria Math"/>
                  <w:color w:val="000000" w:themeColor="text1"/>
                </w:rPr>
                <m:t>b</m:t>
              </m:r>
            </m:e>
            <m:sub>
              <m:r>
                <w:rPr>
                  <w:rFonts w:ascii="Cambria Math" w:hAnsi="Cambria Math"/>
                  <w:color w:val="000000" w:themeColor="text1"/>
                </w:rPr>
                <m:t>8</m:t>
              </m:r>
            </m:sub>
          </m:sSub>
          <m:r>
            <w:rPr>
              <w:rFonts w:ascii="Cambria Math" w:hAnsi="Cambria Math"/>
              <w:color w:val="000000" w:themeColor="text1"/>
            </w:rPr>
            <m:t>RS×GD×Gender</m:t>
          </m:r>
        </m:oMath>
      </m:oMathPara>
    </w:p>
    <w:p w14:paraId="300EA0CE" w14:textId="7B903B63" w:rsidR="009707E6" w:rsidRPr="004D4C57" w:rsidRDefault="0050634E" w:rsidP="009707E6">
      <w:pPr>
        <w:spacing w:line="480" w:lineRule="auto"/>
        <w:rPr>
          <w:color w:val="000000" w:themeColor="text1"/>
        </w:rPr>
      </w:pPr>
      <w:r w:rsidRPr="004D4C57">
        <w:rPr>
          <w:b/>
          <w:color w:val="000000" w:themeColor="text1"/>
        </w:rPr>
        <w:t>Moderated Differences in Cognitive Functioning Between the Matched Samples</w:t>
      </w:r>
    </w:p>
    <w:p w14:paraId="6F8275EA" w14:textId="18D75D26" w:rsidR="005C2F26" w:rsidRPr="004D4C57" w:rsidRDefault="0010730D" w:rsidP="004A5FDC">
      <w:pPr>
        <w:spacing w:line="480" w:lineRule="auto"/>
        <w:ind w:firstLine="720"/>
        <w:rPr>
          <w:color w:val="000000" w:themeColor="text1"/>
        </w:rPr>
      </w:pPr>
      <w:r w:rsidRPr="004D4C57">
        <w:rPr>
          <w:color w:val="000000" w:themeColor="text1"/>
        </w:rPr>
        <w:t xml:space="preserve">Table 2 presents a summary of results for all models. </w:t>
      </w:r>
      <w:r w:rsidR="00082E6D" w:rsidRPr="004D4C57">
        <w:rPr>
          <w:color w:val="000000" w:themeColor="text1"/>
        </w:rPr>
        <w:t xml:space="preserve">Model 1 </w:t>
      </w:r>
      <w:r w:rsidRPr="004D4C57">
        <w:rPr>
          <w:color w:val="000000" w:themeColor="text1"/>
        </w:rPr>
        <w:t xml:space="preserve">(main effects) </w:t>
      </w:r>
      <w:r w:rsidR="00082E6D" w:rsidRPr="004D4C57">
        <w:rPr>
          <w:color w:val="000000" w:themeColor="text1"/>
        </w:rPr>
        <w:t>results showed those</w:t>
      </w:r>
      <w:r w:rsidR="00E46DD4" w:rsidRPr="004D4C57">
        <w:rPr>
          <w:color w:val="000000" w:themeColor="text1"/>
        </w:rPr>
        <w:t xml:space="preserve"> who retired </w:t>
      </w:r>
      <w:r w:rsidR="004D0E99" w:rsidRPr="004D4C57">
        <w:rPr>
          <w:color w:val="000000" w:themeColor="text1"/>
        </w:rPr>
        <w:t xml:space="preserve">did not significantly differ from those who remained employed in rates of nine-year decline for </w:t>
      </w:r>
      <w:r w:rsidR="004A5FDC" w:rsidRPr="004D4C57">
        <w:rPr>
          <w:color w:val="000000" w:themeColor="text1"/>
        </w:rPr>
        <w:t>episodic memory</w:t>
      </w:r>
      <w:r w:rsidR="004D0E99" w:rsidRPr="004D4C57">
        <w:rPr>
          <w:color w:val="000000" w:themeColor="text1"/>
        </w:rPr>
        <w:t xml:space="preserve"> or</w:t>
      </w:r>
      <w:r w:rsidR="00E46DD4" w:rsidRPr="004D4C57">
        <w:rPr>
          <w:color w:val="000000" w:themeColor="text1"/>
        </w:rPr>
        <w:t xml:space="preserve"> executive functioning</w:t>
      </w:r>
      <w:r w:rsidR="004A5FDC" w:rsidRPr="004D4C57">
        <w:rPr>
          <w:color w:val="000000" w:themeColor="text1"/>
        </w:rPr>
        <w:t xml:space="preserve">. </w:t>
      </w:r>
    </w:p>
    <w:p w14:paraId="6270F6F1" w14:textId="191D40B7" w:rsidR="0010730D" w:rsidRPr="004D4C57" w:rsidRDefault="0010730D" w:rsidP="00DC6EE6">
      <w:pPr>
        <w:spacing w:line="480" w:lineRule="auto"/>
        <w:ind w:firstLine="720"/>
        <w:rPr>
          <w:color w:val="000000" w:themeColor="text1"/>
        </w:rPr>
      </w:pPr>
      <w:r w:rsidRPr="004D4C57">
        <w:rPr>
          <w:color w:val="000000" w:themeColor="text1"/>
        </w:rPr>
        <w:t xml:space="preserve">Model 2 (two-way interactions) results </w:t>
      </w:r>
      <w:r w:rsidR="00440143" w:rsidRPr="004D4C57">
        <w:rPr>
          <w:color w:val="000000" w:themeColor="text1"/>
        </w:rPr>
        <w:t>indicated the</w:t>
      </w:r>
      <w:r w:rsidRPr="004D4C57">
        <w:rPr>
          <w:color w:val="000000" w:themeColor="text1"/>
        </w:rPr>
        <w:t xml:space="preserve"> Retirement Status x Goal Disengagement interaction for episodic memory </w:t>
      </w:r>
      <w:r w:rsidR="00440143" w:rsidRPr="004D4C57">
        <w:rPr>
          <w:color w:val="000000" w:themeColor="text1"/>
        </w:rPr>
        <w:t xml:space="preserve">was not significant at </w:t>
      </w:r>
      <w:r w:rsidR="00440143" w:rsidRPr="004D4C57">
        <w:rPr>
          <w:i/>
          <w:iCs/>
          <w:color w:val="000000" w:themeColor="text1"/>
        </w:rPr>
        <w:t>p</w:t>
      </w:r>
      <w:r w:rsidR="00440143" w:rsidRPr="004D4C57">
        <w:rPr>
          <w:color w:val="000000" w:themeColor="text1"/>
        </w:rPr>
        <w:t xml:space="preserve"> &lt; .05 </w:t>
      </w:r>
      <w:r w:rsidRPr="004D4C57">
        <w:rPr>
          <w:color w:val="000000" w:themeColor="text1"/>
        </w:rPr>
        <w:t>(</w:t>
      </w:r>
      <w:r w:rsidR="00AA241B" w:rsidRPr="004D4C57">
        <w:rPr>
          <w:i/>
          <w:color w:val="000000" w:themeColor="text1"/>
        </w:rPr>
        <w:t>b</w:t>
      </w:r>
      <w:r w:rsidR="00AA241B" w:rsidRPr="004D4C57">
        <w:rPr>
          <w:color w:val="000000" w:themeColor="text1"/>
        </w:rPr>
        <w:t xml:space="preserve"> = -.</w:t>
      </w:r>
      <w:r w:rsidR="00FC27FF" w:rsidRPr="004D4C57">
        <w:rPr>
          <w:color w:val="000000" w:themeColor="text1"/>
        </w:rPr>
        <w:t>19</w:t>
      </w:r>
      <w:r w:rsidR="00AA241B" w:rsidRPr="004D4C57">
        <w:rPr>
          <w:color w:val="000000" w:themeColor="text1"/>
        </w:rPr>
        <w:t xml:space="preserve">, </w:t>
      </w:r>
      <w:r w:rsidR="00AA241B" w:rsidRPr="004D4C57">
        <w:rPr>
          <w:i/>
          <w:color w:val="000000" w:themeColor="text1"/>
        </w:rPr>
        <w:t>SE</w:t>
      </w:r>
      <w:r w:rsidR="00AA241B" w:rsidRPr="004D4C57">
        <w:rPr>
          <w:color w:val="000000" w:themeColor="text1"/>
        </w:rPr>
        <w:t xml:space="preserve"> = .</w:t>
      </w:r>
      <w:r w:rsidR="00FC27FF" w:rsidRPr="004D4C57">
        <w:rPr>
          <w:color w:val="000000" w:themeColor="text1"/>
        </w:rPr>
        <w:t>113</w:t>
      </w:r>
      <w:r w:rsidR="00AA241B" w:rsidRPr="004D4C57">
        <w:rPr>
          <w:color w:val="000000" w:themeColor="text1"/>
        </w:rPr>
        <w:t xml:space="preserve">, </w:t>
      </w:r>
      <w:r w:rsidR="00AA241B" w:rsidRPr="004D4C57">
        <w:rPr>
          <w:i/>
          <w:color w:val="000000" w:themeColor="text1"/>
        </w:rPr>
        <w:t>p</w:t>
      </w:r>
      <w:r w:rsidR="00AA241B" w:rsidRPr="004D4C57">
        <w:rPr>
          <w:color w:val="000000" w:themeColor="text1"/>
        </w:rPr>
        <w:t xml:space="preserve"> = .0</w:t>
      </w:r>
      <w:r w:rsidR="00FC27FF" w:rsidRPr="004D4C57">
        <w:rPr>
          <w:color w:val="000000" w:themeColor="text1"/>
        </w:rPr>
        <w:t>85</w:t>
      </w:r>
      <w:r w:rsidRPr="004D4C57">
        <w:rPr>
          <w:color w:val="000000" w:themeColor="text1"/>
        </w:rPr>
        <w:t xml:space="preserve">). </w:t>
      </w:r>
      <w:r w:rsidR="00437921" w:rsidRPr="004D4C57">
        <w:rPr>
          <w:color w:val="000000" w:themeColor="text1"/>
        </w:rPr>
        <w:t>Exploratory s</w:t>
      </w:r>
      <w:r w:rsidRPr="004D4C57">
        <w:rPr>
          <w:color w:val="000000" w:themeColor="text1"/>
        </w:rPr>
        <w:t xml:space="preserve">imple slope analyses probed the interaction by assessing </w:t>
      </w:r>
      <w:r w:rsidR="00AA241B" w:rsidRPr="004D4C57">
        <w:rPr>
          <w:color w:val="000000" w:themeColor="text1"/>
        </w:rPr>
        <w:t>retirement</w:t>
      </w:r>
      <w:r w:rsidRPr="004D4C57">
        <w:rPr>
          <w:color w:val="000000" w:themeColor="text1"/>
        </w:rPr>
        <w:t xml:space="preserve"> status effects at low (-1 SD) and high (+1 SD) values of goal disengagement (Hayes, 2013). </w:t>
      </w:r>
      <w:r w:rsidR="00783786" w:rsidRPr="004D4C57">
        <w:rPr>
          <w:color w:val="000000" w:themeColor="text1"/>
        </w:rPr>
        <w:t>R</w:t>
      </w:r>
      <w:r w:rsidRPr="004D4C57">
        <w:rPr>
          <w:color w:val="000000" w:themeColor="text1"/>
        </w:rPr>
        <w:t xml:space="preserve">esults showed </w:t>
      </w:r>
      <w:r w:rsidR="00AA241B" w:rsidRPr="004D4C57">
        <w:rPr>
          <w:color w:val="000000" w:themeColor="text1"/>
        </w:rPr>
        <w:t>retiring (vs. remaining employed)</w:t>
      </w:r>
      <w:r w:rsidRPr="004D4C57">
        <w:rPr>
          <w:color w:val="000000" w:themeColor="text1"/>
        </w:rPr>
        <w:t xml:space="preserve"> predicted </w:t>
      </w:r>
      <w:r w:rsidR="00AA241B" w:rsidRPr="004D4C57">
        <w:rPr>
          <w:color w:val="000000" w:themeColor="text1"/>
        </w:rPr>
        <w:t>steeper declines</w:t>
      </w:r>
      <w:r w:rsidRPr="004D4C57">
        <w:rPr>
          <w:color w:val="000000" w:themeColor="text1"/>
        </w:rPr>
        <w:t xml:space="preserve"> in episodic memory for only those who were high in goal disengagement (</w:t>
      </w:r>
      <w:r w:rsidRPr="004D4C57">
        <w:rPr>
          <w:i/>
          <w:color w:val="000000" w:themeColor="text1"/>
        </w:rPr>
        <w:t>b</w:t>
      </w:r>
      <w:r w:rsidRPr="004D4C57">
        <w:rPr>
          <w:color w:val="000000" w:themeColor="text1"/>
        </w:rPr>
        <w:t xml:space="preserve"> = </w:t>
      </w:r>
      <w:r w:rsidR="00D23C47" w:rsidRPr="004D4C57">
        <w:rPr>
          <w:color w:val="000000" w:themeColor="text1"/>
        </w:rPr>
        <w:t>-</w:t>
      </w:r>
      <w:r w:rsidRPr="004D4C57">
        <w:rPr>
          <w:color w:val="000000" w:themeColor="text1"/>
        </w:rPr>
        <w:t>.2</w:t>
      </w:r>
      <w:r w:rsidR="00D23C47" w:rsidRPr="004D4C57">
        <w:rPr>
          <w:color w:val="000000" w:themeColor="text1"/>
        </w:rPr>
        <w:t>0</w:t>
      </w:r>
      <w:r w:rsidRPr="004D4C57">
        <w:rPr>
          <w:color w:val="000000" w:themeColor="text1"/>
        </w:rPr>
        <w:t xml:space="preserve">, </w:t>
      </w:r>
      <w:r w:rsidRPr="004D4C57">
        <w:rPr>
          <w:i/>
          <w:color w:val="000000" w:themeColor="text1"/>
        </w:rPr>
        <w:t>SE</w:t>
      </w:r>
      <w:r w:rsidRPr="004D4C57">
        <w:rPr>
          <w:color w:val="000000" w:themeColor="text1"/>
        </w:rPr>
        <w:t xml:space="preserve"> = .10</w:t>
      </w:r>
      <w:r w:rsidR="00D23C47" w:rsidRPr="004D4C57">
        <w:rPr>
          <w:color w:val="000000" w:themeColor="text1"/>
        </w:rPr>
        <w:t>0</w:t>
      </w:r>
      <w:r w:rsidRPr="004D4C57">
        <w:rPr>
          <w:color w:val="000000" w:themeColor="text1"/>
        </w:rPr>
        <w:t xml:space="preserve">, </w:t>
      </w:r>
      <w:r w:rsidRPr="004D4C57">
        <w:rPr>
          <w:i/>
          <w:color w:val="000000" w:themeColor="text1"/>
        </w:rPr>
        <w:t>p</w:t>
      </w:r>
      <w:r w:rsidRPr="004D4C57">
        <w:rPr>
          <w:color w:val="000000" w:themeColor="text1"/>
        </w:rPr>
        <w:t xml:space="preserve"> = .04</w:t>
      </w:r>
      <w:r w:rsidR="00D23C47" w:rsidRPr="004D4C57">
        <w:rPr>
          <w:color w:val="000000" w:themeColor="text1"/>
        </w:rPr>
        <w:t>6</w:t>
      </w:r>
      <w:r w:rsidRPr="004D4C57">
        <w:rPr>
          <w:color w:val="000000" w:themeColor="text1"/>
        </w:rPr>
        <w:t xml:space="preserve">). </w:t>
      </w:r>
      <w:r w:rsidR="00D23C47" w:rsidRPr="004D4C57">
        <w:rPr>
          <w:color w:val="000000" w:themeColor="text1"/>
        </w:rPr>
        <w:t xml:space="preserve">No </w:t>
      </w:r>
      <w:r w:rsidR="00AA241B" w:rsidRPr="004D4C57">
        <w:rPr>
          <w:color w:val="000000" w:themeColor="text1"/>
        </w:rPr>
        <w:t xml:space="preserve">two-way interaction </w:t>
      </w:r>
      <w:r w:rsidR="00D23C47" w:rsidRPr="004D4C57">
        <w:rPr>
          <w:color w:val="000000" w:themeColor="text1"/>
        </w:rPr>
        <w:t>emerged</w:t>
      </w:r>
      <w:r w:rsidR="00AA241B" w:rsidRPr="004D4C57">
        <w:rPr>
          <w:color w:val="000000" w:themeColor="text1"/>
        </w:rPr>
        <w:t xml:space="preserve"> for </w:t>
      </w:r>
      <w:r w:rsidRPr="004D4C57">
        <w:rPr>
          <w:color w:val="000000" w:themeColor="text1"/>
        </w:rPr>
        <w:t>executive functioning.</w:t>
      </w:r>
    </w:p>
    <w:p w14:paraId="36D2CAA2" w14:textId="6DC8B1B4" w:rsidR="002201E3" w:rsidRPr="004D4C57" w:rsidRDefault="0010730D" w:rsidP="00CB6F91">
      <w:pPr>
        <w:spacing w:line="480" w:lineRule="auto"/>
        <w:ind w:firstLine="720"/>
        <w:rPr>
          <w:color w:val="000000" w:themeColor="text1"/>
        </w:rPr>
      </w:pPr>
      <w:r w:rsidRPr="004D4C57">
        <w:rPr>
          <w:color w:val="000000" w:themeColor="text1"/>
        </w:rPr>
        <w:lastRenderedPageBreak/>
        <w:t xml:space="preserve">Model 3 (three-way interactions) </w:t>
      </w:r>
      <w:r w:rsidR="005F156F" w:rsidRPr="004D4C57">
        <w:rPr>
          <w:color w:val="000000" w:themeColor="text1"/>
        </w:rPr>
        <w:t xml:space="preserve">yielded a significant </w:t>
      </w:r>
      <w:r w:rsidR="00720325" w:rsidRPr="004D4C57">
        <w:rPr>
          <w:color w:val="000000" w:themeColor="text1"/>
        </w:rPr>
        <w:t>Retirement</w:t>
      </w:r>
      <w:r w:rsidR="005C2F26" w:rsidRPr="004D4C57">
        <w:rPr>
          <w:color w:val="000000" w:themeColor="text1"/>
        </w:rPr>
        <w:t xml:space="preserve"> Status x Goal Disengagement x </w:t>
      </w:r>
      <w:r w:rsidR="00F1481D" w:rsidRPr="004D4C57">
        <w:rPr>
          <w:color w:val="000000" w:themeColor="text1"/>
        </w:rPr>
        <w:t>Gender</w:t>
      </w:r>
      <w:r w:rsidR="005C2F26" w:rsidRPr="004D4C57">
        <w:rPr>
          <w:color w:val="000000" w:themeColor="text1"/>
        </w:rPr>
        <w:t xml:space="preserve"> interaction </w:t>
      </w:r>
      <w:r w:rsidR="00AC20ED" w:rsidRPr="004D4C57">
        <w:rPr>
          <w:color w:val="000000" w:themeColor="text1"/>
        </w:rPr>
        <w:t xml:space="preserve">for </w:t>
      </w:r>
      <w:r w:rsidR="00720325" w:rsidRPr="004D4C57">
        <w:rPr>
          <w:color w:val="000000" w:themeColor="text1"/>
        </w:rPr>
        <w:t>episodic memory</w:t>
      </w:r>
      <w:r w:rsidR="005C2F26" w:rsidRPr="004D4C57">
        <w:rPr>
          <w:color w:val="000000" w:themeColor="text1"/>
        </w:rPr>
        <w:t xml:space="preserve">. </w:t>
      </w:r>
      <w:r w:rsidR="0041515C" w:rsidRPr="004D4C57">
        <w:rPr>
          <w:color w:val="000000" w:themeColor="text1"/>
        </w:rPr>
        <w:t xml:space="preserve">Simple slope analyses probed the interaction by assessing </w:t>
      </w:r>
      <w:r w:rsidR="00D658D4" w:rsidRPr="004D4C57">
        <w:rPr>
          <w:color w:val="000000" w:themeColor="text1"/>
        </w:rPr>
        <w:t>retirement</w:t>
      </w:r>
      <w:r w:rsidR="0041515C" w:rsidRPr="004D4C57">
        <w:rPr>
          <w:color w:val="000000" w:themeColor="text1"/>
        </w:rPr>
        <w:t xml:space="preserve"> status effects for males and females at low (-1 SD) and high (+1 SD) values of goal disengagement</w:t>
      </w:r>
      <w:r w:rsidR="00A469BB" w:rsidRPr="004D4C57">
        <w:rPr>
          <w:color w:val="000000" w:themeColor="text1"/>
        </w:rPr>
        <w:t xml:space="preserve"> (see the OSM for results of a range-of-significance approach)</w:t>
      </w:r>
      <w:r w:rsidR="0041515C" w:rsidRPr="004D4C57">
        <w:rPr>
          <w:color w:val="000000" w:themeColor="text1"/>
        </w:rPr>
        <w:t xml:space="preserve">. </w:t>
      </w:r>
      <w:r w:rsidR="002201E3" w:rsidRPr="004D4C57">
        <w:rPr>
          <w:color w:val="000000" w:themeColor="text1"/>
        </w:rPr>
        <w:t xml:space="preserve">Results </w:t>
      </w:r>
      <w:r w:rsidR="005C2F26" w:rsidRPr="004D4C57">
        <w:rPr>
          <w:color w:val="000000" w:themeColor="text1"/>
        </w:rPr>
        <w:t xml:space="preserve">showed </w:t>
      </w:r>
      <w:r w:rsidR="002201E3" w:rsidRPr="004D4C57">
        <w:rPr>
          <w:color w:val="000000" w:themeColor="text1"/>
        </w:rPr>
        <w:t xml:space="preserve">that </w:t>
      </w:r>
      <w:r w:rsidR="00720325" w:rsidRPr="004D4C57">
        <w:rPr>
          <w:color w:val="000000" w:themeColor="text1"/>
        </w:rPr>
        <w:t xml:space="preserve">retiring (vs. remaining employed) </w:t>
      </w:r>
      <w:r w:rsidR="005C2F26" w:rsidRPr="004D4C57">
        <w:rPr>
          <w:color w:val="000000" w:themeColor="text1"/>
        </w:rPr>
        <w:t xml:space="preserve">predicted </w:t>
      </w:r>
      <w:r w:rsidR="00720325" w:rsidRPr="004D4C57">
        <w:rPr>
          <w:color w:val="000000" w:themeColor="text1"/>
        </w:rPr>
        <w:t>steeper declines</w:t>
      </w:r>
      <w:r w:rsidR="005C2F26" w:rsidRPr="004D4C57">
        <w:rPr>
          <w:color w:val="000000" w:themeColor="text1"/>
        </w:rPr>
        <w:t xml:space="preserve"> in </w:t>
      </w:r>
      <w:r w:rsidR="00720325" w:rsidRPr="004D4C57">
        <w:rPr>
          <w:color w:val="000000" w:themeColor="text1"/>
        </w:rPr>
        <w:t xml:space="preserve">episodic memory </w:t>
      </w:r>
      <w:r w:rsidR="005C2F26" w:rsidRPr="004D4C57">
        <w:rPr>
          <w:color w:val="000000" w:themeColor="text1"/>
        </w:rPr>
        <w:t>for only females high in goal disengagement (</w:t>
      </w:r>
      <w:r w:rsidR="007716DB" w:rsidRPr="004D4C57">
        <w:rPr>
          <w:i/>
          <w:color w:val="000000" w:themeColor="text1"/>
        </w:rPr>
        <w:t>b</w:t>
      </w:r>
      <w:r w:rsidR="007716DB" w:rsidRPr="004D4C57">
        <w:rPr>
          <w:color w:val="000000" w:themeColor="text1"/>
        </w:rPr>
        <w:t xml:space="preserve"> = -.41, </w:t>
      </w:r>
      <w:r w:rsidR="007716DB" w:rsidRPr="004D4C57">
        <w:rPr>
          <w:i/>
          <w:color w:val="000000" w:themeColor="text1"/>
        </w:rPr>
        <w:t>SE</w:t>
      </w:r>
      <w:r w:rsidR="007716DB" w:rsidRPr="004D4C57">
        <w:rPr>
          <w:color w:val="000000" w:themeColor="text1"/>
        </w:rPr>
        <w:t xml:space="preserve"> = .128, </w:t>
      </w:r>
      <w:r w:rsidR="007716DB" w:rsidRPr="004D4C57">
        <w:rPr>
          <w:i/>
          <w:color w:val="000000" w:themeColor="text1"/>
        </w:rPr>
        <w:t>p</w:t>
      </w:r>
      <w:r w:rsidR="007716DB" w:rsidRPr="004D4C57">
        <w:rPr>
          <w:color w:val="000000" w:themeColor="text1"/>
        </w:rPr>
        <w:t xml:space="preserve"> = .001</w:t>
      </w:r>
      <w:r w:rsidR="005C4E18" w:rsidRPr="004D4C57">
        <w:rPr>
          <w:color w:val="000000" w:themeColor="text1"/>
        </w:rPr>
        <w:t xml:space="preserve">; </w:t>
      </w:r>
      <w:r w:rsidR="005C2F26" w:rsidRPr="004D4C57">
        <w:rPr>
          <w:color w:val="000000" w:themeColor="text1"/>
        </w:rPr>
        <w:t>see Figure 2).</w:t>
      </w:r>
      <w:r w:rsidR="00AC20ED" w:rsidRPr="004D4C57">
        <w:rPr>
          <w:color w:val="000000" w:themeColor="text1"/>
        </w:rPr>
        <w:t xml:space="preserve"> </w:t>
      </w:r>
      <w:r w:rsidR="002201E3" w:rsidRPr="004D4C57">
        <w:rPr>
          <w:color w:val="000000" w:themeColor="text1"/>
        </w:rPr>
        <w:t xml:space="preserve">Retiring did not predict </w:t>
      </w:r>
      <w:r w:rsidR="002B219C" w:rsidRPr="004D4C57">
        <w:rPr>
          <w:color w:val="000000" w:themeColor="text1"/>
        </w:rPr>
        <w:t xml:space="preserve">greater </w:t>
      </w:r>
      <w:r w:rsidR="002201E3" w:rsidRPr="004D4C57">
        <w:rPr>
          <w:color w:val="000000" w:themeColor="text1"/>
        </w:rPr>
        <w:t>declines in episodic memory for males high in goal disengagement (</w:t>
      </w:r>
      <w:r w:rsidR="002201E3" w:rsidRPr="004D4C57">
        <w:rPr>
          <w:i/>
          <w:color w:val="000000" w:themeColor="text1"/>
        </w:rPr>
        <w:t>b</w:t>
      </w:r>
      <w:r w:rsidR="002201E3" w:rsidRPr="004D4C57">
        <w:rPr>
          <w:color w:val="000000" w:themeColor="text1"/>
        </w:rPr>
        <w:t xml:space="preserve"> = .13, </w:t>
      </w:r>
      <w:r w:rsidR="002201E3" w:rsidRPr="004D4C57">
        <w:rPr>
          <w:i/>
          <w:color w:val="000000" w:themeColor="text1"/>
        </w:rPr>
        <w:t>SE</w:t>
      </w:r>
      <w:r w:rsidR="002201E3" w:rsidRPr="004D4C57">
        <w:rPr>
          <w:color w:val="000000" w:themeColor="text1"/>
        </w:rPr>
        <w:t xml:space="preserve"> = .158, </w:t>
      </w:r>
      <w:r w:rsidR="002201E3" w:rsidRPr="004D4C57">
        <w:rPr>
          <w:i/>
          <w:color w:val="000000" w:themeColor="text1"/>
        </w:rPr>
        <w:t>p</w:t>
      </w:r>
      <w:r w:rsidR="002201E3" w:rsidRPr="004D4C57">
        <w:rPr>
          <w:color w:val="000000" w:themeColor="text1"/>
        </w:rPr>
        <w:t xml:space="preserve"> = .420).</w:t>
      </w:r>
    </w:p>
    <w:p w14:paraId="4604A1B6" w14:textId="5F71340B" w:rsidR="0097385B" w:rsidRPr="004D4C57" w:rsidRDefault="001D44BB" w:rsidP="00CB6F91">
      <w:pPr>
        <w:spacing w:line="480" w:lineRule="auto"/>
        <w:ind w:firstLine="720"/>
        <w:rPr>
          <w:color w:val="000000" w:themeColor="text1"/>
        </w:rPr>
      </w:pPr>
      <w:r w:rsidRPr="004D4C57">
        <w:rPr>
          <w:color w:val="000000" w:themeColor="text1"/>
        </w:rPr>
        <w:t>The three-way interaction was not significant for executive functioning</w:t>
      </w:r>
      <w:r w:rsidR="00AC20ED" w:rsidRPr="004D4C57">
        <w:rPr>
          <w:color w:val="000000" w:themeColor="text1"/>
        </w:rPr>
        <w:t xml:space="preserve">. </w:t>
      </w:r>
      <w:r w:rsidR="005427C8" w:rsidRPr="004D4C57">
        <w:rPr>
          <w:color w:val="000000" w:themeColor="text1"/>
        </w:rPr>
        <w:t>We assessed</w:t>
      </w:r>
      <w:r w:rsidRPr="004D4C57">
        <w:rPr>
          <w:color w:val="000000" w:themeColor="text1"/>
        </w:rPr>
        <w:t xml:space="preserve"> </w:t>
      </w:r>
      <w:r w:rsidR="0097385B" w:rsidRPr="004D4C57">
        <w:rPr>
          <w:color w:val="000000" w:themeColor="text1"/>
        </w:rPr>
        <w:t>exploratory</w:t>
      </w:r>
      <w:r w:rsidRPr="004D4C57">
        <w:rPr>
          <w:color w:val="000000" w:themeColor="text1"/>
        </w:rPr>
        <w:t xml:space="preserve"> simple slope analyses </w:t>
      </w:r>
      <w:r w:rsidR="005427C8" w:rsidRPr="004D4C57">
        <w:rPr>
          <w:color w:val="000000" w:themeColor="text1"/>
        </w:rPr>
        <w:t xml:space="preserve">as a preliminary test of whether the </w:t>
      </w:r>
      <w:r w:rsidRPr="004D4C57">
        <w:rPr>
          <w:color w:val="000000" w:themeColor="text1"/>
        </w:rPr>
        <w:t>pattern of results was consistent</w:t>
      </w:r>
      <w:r w:rsidR="00AC20ED" w:rsidRPr="004D4C57">
        <w:rPr>
          <w:color w:val="000000" w:themeColor="text1"/>
        </w:rPr>
        <w:t xml:space="preserve"> with</w:t>
      </w:r>
      <w:r w:rsidRPr="004D4C57">
        <w:rPr>
          <w:color w:val="000000" w:themeColor="text1"/>
        </w:rPr>
        <w:t xml:space="preserve"> those observed for </w:t>
      </w:r>
      <w:r w:rsidR="00216452" w:rsidRPr="004D4C57">
        <w:rPr>
          <w:color w:val="000000" w:themeColor="text1"/>
        </w:rPr>
        <w:t>episodic memory</w:t>
      </w:r>
      <w:r w:rsidR="00B77245" w:rsidRPr="004D4C57">
        <w:rPr>
          <w:color w:val="000000" w:themeColor="text1"/>
        </w:rPr>
        <w:t xml:space="preserve">: </w:t>
      </w:r>
      <w:r w:rsidR="005427C8" w:rsidRPr="004D4C57">
        <w:rPr>
          <w:color w:val="000000" w:themeColor="text1"/>
        </w:rPr>
        <w:t xml:space="preserve">Results </w:t>
      </w:r>
      <w:r w:rsidR="001E2739" w:rsidRPr="004D4C57">
        <w:rPr>
          <w:color w:val="000000" w:themeColor="text1"/>
        </w:rPr>
        <w:t xml:space="preserve">of these exploratory analyses </w:t>
      </w:r>
      <w:r w:rsidR="005427C8" w:rsidRPr="004D4C57">
        <w:rPr>
          <w:color w:val="000000" w:themeColor="text1"/>
        </w:rPr>
        <w:t>suggested r</w:t>
      </w:r>
      <w:r w:rsidR="002860F8" w:rsidRPr="004D4C57">
        <w:rPr>
          <w:color w:val="000000" w:themeColor="text1"/>
        </w:rPr>
        <w:t>etiring</w:t>
      </w:r>
      <w:r w:rsidR="00B77245" w:rsidRPr="004D4C57">
        <w:rPr>
          <w:color w:val="000000" w:themeColor="text1"/>
        </w:rPr>
        <w:t xml:space="preserve"> (vs. </w:t>
      </w:r>
      <w:r w:rsidR="002860F8" w:rsidRPr="004D4C57">
        <w:rPr>
          <w:color w:val="000000" w:themeColor="text1"/>
        </w:rPr>
        <w:t>remaining employed</w:t>
      </w:r>
      <w:r w:rsidR="00B77245" w:rsidRPr="004D4C57">
        <w:rPr>
          <w:color w:val="000000" w:themeColor="text1"/>
        </w:rPr>
        <w:t xml:space="preserve">) </w:t>
      </w:r>
      <w:r w:rsidR="002860F8" w:rsidRPr="004D4C57">
        <w:rPr>
          <w:color w:val="000000" w:themeColor="text1"/>
        </w:rPr>
        <w:t xml:space="preserve">predicted </w:t>
      </w:r>
      <w:r w:rsidR="003D0D2E" w:rsidRPr="004D4C57">
        <w:rPr>
          <w:color w:val="000000" w:themeColor="text1"/>
        </w:rPr>
        <w:t>steeper</w:t>
      </w:r>
      <w:r w:rsidR="002860F8" w:rsidRPr="004D4C57">
        <w:rPr>
          <w:color w:val="000000" w:themeColor="text1"/>
        </w:rPr>
        <w:t xml:space="preserve"> </w:t>
      </w:r>
      <w:r w:rsidR="00B77245" w:rsidRPr="004D4C57">
        <w:rPr>
          <w:color w:val="000000" w:themeColor="text1"/>
        </w:rPr>
        <w:t>declines in executive functioning for only females high in goal disengagement (</w:t>
      </w:r>
      <w:r w:rsidR="00CB6397" w:rsidRPr="004D4C57">
        <w:rPr>
          <w:i/>
          <w:color w:val="000000" w:themeColor="text1"/>
        </w:rPr>
        <w:t>b</w:t>
      </w:r>
      <w:r w:rsidR="00CB6397" w:rsidRPr="004D4C57">
        <w:rPr>
          <w:color w:val="000000" w:themeColor="text1"/>
        </w:rPr>
        <w:t xml:space="preserve"> =</w:t>
      </w:r>
      <w:r w:rsidR="001115C7" w:rsidRPr="004D4C57">
        <w:rPr>
          <w:color w:val="000000" w:themeColor="text1"/>
        </w:rPr>
        <w:t xml:space="preserve"> </w:t>
      </w:r>
      <w:r w:rsidR="007716DB" w:rsidRPr="004D4C57">
        <w:rPr>
          <w:color w:val="000000" w:themeColor="text1"/>
        </w:rPr>
        <w:t>-</w:t>
      </w:r>
      <w:r w:rsidR="00CB6397" w:rsidRPr="004D4C57">
        <w:rPr>
          <w:color w:val="000000" w:themeColor="text1"/>
        </w:rPr>
        <w:t>.1</w:t>
      </w:r>
      <w:r w:rsidR="0013744D" w:rsidRPr="004D4C57">
        <w:rPr>
          <w:color w:val="000000" w:themeColor="text1"/>
        </w:rPr>
        <w:t>4</w:t>
      </w:r>
      <w:r w:rsidR="00CB6397" w:rsidRPr="004D4C57">
        <w:rPr>
          <w:color w:val="000000" w:themeColor="text1"/>
        </w:rPr>
        <w:t>,</w:t>
      </w:r>
      <w:r w:rsidR="0013744D" w:rsidRPr="004D4C57">
        <w:rPr>
          <w:i/>
          <w:color w:val="000000" w:themeColor="text1"/>
        </w:rPr>
        <w:t xml:space="preserve"> SE</w:t>
      </w:r>
      <w:r w:rsidR="0013744D" w:rsidRPr="004D4C57">
        <w:rPr>
          <w:color w:val="000000" w:themeColor="text1"/>
        </w:rPr>
        <w:t xml:space="preserve"> = .066,</w:t>
      </w:r>
      <w:r w:rsidR="00CB6397" w:rsidRPr="004D4C57">
        <w:rPr>
          <w:color w:val="000000" w:themeColor="text1"/>
        </w:rPr>
        <w:t xml:space="preserve"> </w:t>
      </w:r>
      <w:r w:rsidR="00CB6397" w:rsidRPr="004D4C57">
        <w:rPr>
          <w:i/>
          <w:color w:val="000000" w:themeColor="text1"/>
        </w:rPr>
        <w:t>p</w:t>
      </w:r>
      <w:r w:rsidR="00CB6397" w:rsidRPr="004D4C57">
        <w:rPr>
          <w:color w:val="000000" w:themeColor="text1"/>
        </w:rPr>
        <w:t xml:space="preserve"> =</w:t>
      </w:r>
      <w:r w:rsidR="001115C7" w:rsidRPr="004D4C57">
        <w:rPr>
          <w:color w:val="000000" w:themeColor="text1"/>
        </w:rPr>
        <w:t xml:space="preserve"> </w:t>
      </w:r>
      <w:r w:rsidR="00CB6397" w:rsidRPr="004D4C57">
        <w:rPr>
          <w:color w:val="000000" w:themeColor="text1"/>
        </w:rPr>
        <w:t>.0</w:t>
      </w:r>
      <w:r w:rsidR="00FA61F2" w:rsidRPr="004D4C57">
        <w:rPr>
          <w:color w:val="000000" w:themeColor="text1"/>
        </w:rPr>
        <w:t>41</w:t>
      </w:r>
      <w:r w:rsidR="00B77245" w:rsidRPr="004D4C57">
        <w:rPr>
          <w:color w:val="000000" w:themeColor="text1"/>
        </w:rPr>
        <w:t>).</w:t>
      </w:r>
      <w:r w:rsidR="002201E3" w:rsidRPr="004D4C57">
        <w:rPr>
          <w:color w:val="000000" w:themeColor="text1"/>
        </w:rPr>
        <w:t xml:space="preserve"> Retiring did not predict </w:t>
      </w:r>
      <w:r w:rsidR="002B219C" w:rsidRPr="004D4C57">
        <w:rPr>
          <w:color w:val="000000" w:themeColor="text1"/>
        </w:rPr>
        <w:t xml:space="preserve">greater </w:t>
      </w:r>
      <w:r w:rsidR="002201E3" w:rsidRPr="004D4C57">
        <w:rPr>
          <w:color w:val="000000" w:themeColor="text1"/>
        </w:rPr>
        <w:t>declines in executive functioning for males high in goal disengagement (</w:t>
      </w:r>
      <w:r w:rsidR="002201E3" w:rsidRPr="004D4C57">
        <w:rPr>
          <w:i/>
          <w:color w:val="000000" w:themeColor="text1"/>
        </w:rPr>
        <w:t>b</w:t>
      </w:r>
      <w:r w:rsidR="002201E3" w:rsidRPr="004D4C57">
        <w:rPr>
          <w:color w:val="000000" w:themeColor="text1"/>
        </w:rPr>
        <w:t xml:space="preserve"> = .01, </w:t>
      </w:r>
      <w:r w:rsidR="002201E3" w:rsidRPr="004D4C57">
        <w:rPr>
          <w:i/>
          <w:color w:val="000000" w:themeColor="text1"/>
        </w:rPr>
        <w:t>SE</w:t>
      </w:r>
      <w:r w:rsidR="002201E3" w:rsidRPr="004D4C57">
        <w:rPr>
          <w:color w:val="000000" w:themeColor="text1"/>
        </w:rPr>
        <w:t xml:space="preserve"> = .082, </w:t>
      </w:r>
      <w:r w:rsidR="002201E3" w:rsidRPr="004D4C57">
        <w:rPr>
          <w:i/>
          <w:color w:val="000000" w:themeColor="text1"/>
        </w:rPr>
        <w:t>p</w:t>
      </w:r>
      <w:r w:rsidR="002201E3" w:rsidRPr="004D4C57">
        <w:rPr>
          <w:color w:val="000000" w:themeColor="text1"/>
        </w:rPr>
        <w:t xml:space="preserve"> = .906).</w:t>
      </w:r>
      <w:r w:rsidR="00B02460" w:rsidRPr="004D4C57">
        <w:rPr>
          <w:rStyle w:val="FootnoteReference"/>
          <w:color w:val="000000" w:themeColor="text1"/>
        </w:rPr>
        <w:footnoteReference w:id="3"/>
      </w:r>
      <w:r w:rsidR="0097385B" w:rsidRPr="004D4C57">
        <w:rPr>
          <w:color w:val="000000" w:themeColor="text1"/>
        </w:rPr>
        <w:t xml:space="preserve"> </w:t>
      </w:r>
    </w:p>
    <w:p w14:paraId="3F452230" w14:textId="37C81E92" w:rsidR="00A469BB" w:rsidRPr="004D4C57" w:rsidRDefault="00EA1145" w:rsidP="00CB6F91">
      <w:pPr>
        <w:spacing w:line="480" w:lineRule="auto"/>
        <w:ind w:firstLine="720"/>
        <w:rPr>
          <w:color w:val="000000" w:themeColor="text1"/>
        </w:rPr>
      </w:pPr>
      <w:r w:rsidRPr="004D4C57">
        <w:rPr>
          <w:color w:val="000000" w:themeColor="text1"/>
        </w:rPr>
        <w:t xml:space="preserve">See the </w:t>
      </w:r>
      <w:r w:rsidR="005E59D4" w:rsidRPr="004D4C57">
        <w:rPr>
          <w:color w:val="000000" w:themeColor="text1"/>
        </w:rPr>
        <w:t>OSM</w:t>
      </w:r>
      <w:r w:rsidRPr="004D4C57">
        <w:rPr>
          <w:color w:val="000000" w:themeColor="text1"/>
        </w:rPr>
        <w:t xml:space="preserve"> for results of a series of supplemental analyses</w:t>
      </w:r>
      <w:r w:rsidR="00A469BB" w:rsidRPr="004D4C57">
        <w:rPr>
          <w:color w:val="000000" w:themeColor="text1"/>
        </w:rPr>
        <w:t xml:space="preserve"> that </w:t>
      </w:r>
      <w:r w:rsidR="001F3F0A" w:rsidRPr="004D4C57">
        <w:rPr>
          <w:color w:val="000000" w:themeColor="text1"/>
        </w:rPr>
        <w:t>test</w:t>
      </w:r>
      <w:r w:rsidR="0070611E" w:rsidRPr="004D4C57">
        <w:rPr>
          <w:color w:val="000000" w:themeColor="text1"/>
        </w:rPr>
        <w:t>ed</w:t>
      </w:r>
      <w:r w:rsidR="001F3F0A" w:rsidRPr="004D4C57">
        <w:rPr>
          <w:color w:val="000000" w:themeColor="text1"/>
        </w:rPr>
        <w:t xml:space="preserve"> </w:t>
      </w:r>
      <w:r w:rsidR="00A469BB" w:rsidRPr="004D4C57">
        <w:rPr>
          <w:color w:val="000000" w:themeColor="text1"/>
        </w:rPr>
        <w:t xml:space="preserve">doubly-robust models, separate models for each BTACT scale, latent variable models, and </w:t>
      </w:r>
      <w:r w:rsidR="006B7210" w:rsidRPr="004D4C57">
        <w:rPr>
          <w:color w:val="000000" w:themeColor="text1"/>
        </w:rPr>
        <w:t xml:space="preserve">models </w:t>
      </w:r>
      <w:r w:rsidR="001F3F0A" w:rsidRPr="004D4C57">
        <w:rPr>
          <w:color w:val="000000" w:themeColor="text1"/>
        </w:rPr>
        <w:t>assessing whether results differ</w:t>
      </w:r>
      <w:r w:rsidR="003A48DE" w:rsidRPr="004D4C57">
        <w:rPr>
          <w:color w:val="000000" w:themeColor="text1"/>
        </w:rPr>
        <w:t>ed</w:t>
      </w:r>
      <w:r w:rsidR="001F3F0A" w:rsidRPr="004D4C57">
        <w:rPr>
          <w:color w:val="000000" w:themeColor="text1"/>
        </w:rPr>
        <w:t xml:space="preserve"> for participants who held professional vs. non-professional positions</w:t>
      </w:r>
      <w:r w:rsidR="00A469BB" w:rsidRPr="004D4C57">
        <w:rPr>
          <w:color w:val="000000" w:themeColor="text1"/>
        </w:rPr>
        <w:t>.</w:t>
      </w:r>
    </w:p>
    <w:p w14:paraId="10A6D0A5" w14:textId="6591527B" w:rsidR="00627C13" w:rsidRPr="004D4C57" w:rsidRDefault="0049040A" w:rsidP="004F6BD3">
      <w:pPr>
        <w:spacing w:line="480" w:lineRule="auto"/>
        <w:jc w:val="center"/>
        <w:rPr>
          <w:b/>
          <w:color w:val="000000" w:themeColor="text1"/>
        </w:rPr>
      </w:pPr>
      <w:r w:rsidRPr="004D4C57">
        <w:rPr>
          <w:b/>
          <w:color w:val="000000" w:themeColor="text1"/>
        </w:rPr>
        <w:t>Discussion</w:t>
      </w:r>
    </w:p>
    <w:p w14:paraId="10894268" w14:textId="2C38B4F3" w:rsidR="00940756" w:rsidRPr="004D4C57" w:rsidRDefault="00887DBB" w:rsidP="004F6BD3">
      <w:pPr>
        <w:spacing w:line="480" w:lineRule="auto"/>
        <w:ind w:firstLine="720"/>
        <w:rPr>
          <w:color w:val="000000" w:themeColor="text1"/>
        </w:rPr>
      </w:pPr>
      <w:r w:rsidRPr="004D4C57">
        <w:rPr>
          <w:color w:val="000000" w:themeColor="text1"/>
        </w:rPr>
        <w:t>O</w:t>
      </w:r>
      <w:r w:rsidR="00964A13" w:rsidRPr="004D4C57">
        <w:rPr>
          <w:color w:val="000000" w:themeColor="text1"/>
        </w:rPr>
        <w:t>ur study examine</w:t>
      </w:r>
      <w:r w:rsidR="00AE0CD5" w:rsidRPr="004D4C57">
        <w:rPr>
          <w:color w:val="000000" w:themeColor="text1"/>
        </w:rPr>
        <w:t>d</w:t>
      </w:r>
      <w:r w:rsidR="00964A13" w:rsidRPr="004D4C57">
        <w:rPr>
          <w:color w:val="000000" w:themeColor="text1"/>
        </w:rPr>
        <w:t xml:space="preserve"> the conditions under which transitioning to retirement </w:t>
      </w:r>
      <w:r w:rsidR="008D6A82" w:rsidRPr="004D4C57">
        <w:rPr>
          <w:color w:val="000000" w:themeColor="text1"/>
        </w:rPr>
        <w:t>predicted</w:t>
      </w:r>
      <w:r w:rsidR="00964A13" w:rsidRPr="004D4C57">
        <w:rPr>
          <w:color w:val="000000" w:themeColor="text1"/>
        </w:rPr>
        <w:t xml:space="preserve"> cognitive declines</w:t>
      </w:r>
      <w:r w:rsidRPr="004D4C57">
        <w:rPr>
          <w:color w:val="000000" w:themeColor="text1"/>
        </w:rPr>
        <w:t xml:space="preserve"> using data from MIDUS</w:t>
      </w:r>
      <w:r w:rsidR="00964A13" w:rsidRPr="004D4C57">
        <w:rPr>
          <w:color w:val="000000" w:themeColor="text1"/>
        </w:rPr>
        <w:t xml:space="preserve">. Findings from our matched samples </w:t>
      </w:r>
      <w:r w:rsidR="00F47577" w:rsidRPr="004D4C57">
        <w:rPr>
          <w:color w:val="000000" w:themeColor="text1"/>
        </w:rPr>
        <w:t xml:space="preserve">provide initial </w:t>
      </w:r>
      <w:r w:rsidR="00F47577" w:rsidRPr="004D4C57">
        <w:rPr>
          <w:color w:val="000000" w:themeColor="text1"/>
        </w:rPr>
        <w:lastRenderedPageBreak/>
        <w:t xml:space="preserve">evidence that whether retirees are at risk of greater </w:t>
      </w:r>
      <w:r w:rsidR="00964A13" w:rsidRPr="004D4C57">
        <w:rPr>
          <w:color w:val="000000" w:themeColor="text1"/>
        </w:rPr>
        <w:t>decline</w:t>
      </w:r>
      <w:r w:rsidR="00015342" w:rsidRPr="004D4C57">
        <w:rPr>
          <w:color w:val="000000" w:themeColor="text1"/>
        </w:rPr>
        <w:t>s</w:t>
      </w:r>
      <w:r w:rsidR="00964A13" w:rsidRPr="004D4C57">
        <w:rPr>
          <w:color w:val="000000" w:themeColor="text1"/>
        </w:rPr>
        <w:t xml:space="preserve"> than their peers who remain employed</w:t>
      </w:r>
      <w:r w:rsidR="00015342" w:rsidRPr="004D4C57">
        <w:rPr>
          <w:color w:val="000000" w:themeColor="text1"/>
        </w:rPr>
        <w:t xml:space="preserve"> </w:t>
      </w:r>
      <w:r w:rsidR="00F47577" w:rsidRPr="004D4C57">
        <w:rPr>
          <w:color w:val="000000" w:themeColor="text1"/>
        </w:rPr>
        <w:t xml:space="preserve">may </w:t>
      </w:r>
      <w:r w:rsidR="00964A13" w:rsidRPr="004D4C57">
        <w:rPr>
          <w:color w:val="000000" w:themeColor="text1"/>
        </w:rPr>
        <w:t xml:space="preserve">depend on </w:t>
      </w:r>
      <w:r w:rsidR="00255C82" w:rsidRPr="004D4C57">
        <w:rPr>
          <w:color w:val="000000" w:themeColor="text1"/>
        </w:rPr>
        <w:t>goal disengagement and gender</w:t>
      </w:r>
      <w:r w:rsidR="00964A13" w:rsidRPr="004D4C57">
        <w:rPr>
          <w:color w:val="000000" w:themeColor="text1"/>
        </w:rPr>
        <w:t xml:space="preserve">. Results are consistent with theories of lifespan development and cognitive aging and contribute to a better understanding of individual differences that moderate risk of cognitive decline during the retirement transition (Heckhausen et al., 2010, 2019; </w:t>
      </w:r>
      <w:proofErr w:type="spellStart"/>
      <w:r w:rsidR="00964A13" w:rsidRPr="004D4C57">
        <w:rPr>
          <w:color w:val="000000" w:themeColor="text1"/>
        </w:rPr>
        <w:t>Hultsch</w:t>
      </w:r>
      <w:proofErr w:type="spellEnd"/>
      <w:r w:rsidR="00964A13" w:rsidRPr="004D4C57">
        <w:rPr>
          <w:color w:val="000000" w:themeColor="text1"/>
        </w:rPr>
        <w:t xml:space="preserve"> et al., 1999).</w:t>
      </w:r>
    </w:p>
    <w:p w14:paraId="32FB28A9" w14:textId="68FDAB13" w:rsidR="00FF2E44" w:rsidRPr="004D4C57" w:rsidRDefault="00FF2E44" w:rsidP="004F6BD3">
      <w:pPr>
        <w:spacing w:line="480" w:lineRule="auto"/>
        <w:rPr>
          <w:b/>
          <w:color w:val="000000" w:themeColor="text1"/>
        </w:rPr>
      </w:pPr>
      <w:r w:rsidRPr="004D4C57">
        <w:rPr>
          <w:b/>
          <w:color w:val="000000" w:themeColor="text1"/>
        </w:rPr>
        <w:t xml:space="preserve">Moderated Associations Between Retirement and Cognitive Decline </w:t>
      </w:r>
    </w:p>
    <w:p w14:paraId="4B88C833" w14:textId="14E684A8" w:rsidR="00B368EF" w:rsidRPr="004D4C57" w:rsidRDefault="00E01303" w:rsidP="00B368EF">
      <w:pPr>
        <w:spacing w:line="480" w:lineRule="auto"/>
        <w:ind w:firstLine="720"/>
        <w:rPr>
          <w:color w:val="000000" w:themeColor="text1"/>
        </w:rPr>
      </w:pPr>
      <w:r w:rsidRPr="004D4C57">
        <w:rPr>
          <w:color w:val="000000" w:themeColor="text1"/>
        </w:rPr>
        <w:t>Our</w:t>
      </w:r>
      <w:r w:rsidR="009914CF" w:rsidRPr="004D4C57">
        <w:rPr>
          <w:color w:val="000000" w:themeColor="text1"/>
        </w:rPr>
        <w:t xml:space="preserve"> </w:t>
      </w:r>
      <w:r w:rsidR="00753225" w:rsidRPr="004D4C57">
        <w:rPr>
          <w:color w:val="000000" w:themeColor="text1"/>
        </w:rPr>
        <w:t xml:space="preserve">findings </w:t>
      </w:r>
      <w:r w:rsidR="002A04E5" w:rsidRPr="004D4C57">
        <w:rPr>
          <w:color w:val="000000" w:themeColor="text1"/>
        </w:rPr>
        <w:t>suggest</w:t>
      </w:r>
      <w:r w:rsidR="009914CF" w:rsidRPr="004D4C57">
        <w:rPr>
          <w:color w:val="000000" w:themeColor="text1"/>
        </w:rPr>
        <w:t xml:space="preserve"> that not all those who </w:t>
      </w:r>
      <w:r w:rsidR="00887DBB" w:rsidRPr="004D4C57">
        <w:rPr>
          <w:color w:val="000000" w:themeColor="text1"/>
        </w:rPr>
        <w:t xml:space="preserve">retire </w:t>
      </w:r>
      <w:r w:rsidR="0002389E" w:rsidRPr="004D4C57">
        <w:rPr>
          <w:color w:val="000000" w:themeColor="text1"/>
        </w:rPr>
        <w:t>experience</w:t>
      </w:r>
      <w:r w:rsidR="009914CF" w:rsidRPr="004D4C57">
        <w:rPr>
          <w:color w:val="000000" w:themeColor="text1"/>
        </w:rPr>
        <w:t xml:space="preserve"> </w:t>
      </w:r>
      <w:r w:rsidR="0064201E" w:rsidRPr="004D4C57">
        <w:rPr>
          <w:color w:val="000000" w:themeColor="text1"/>
        </w:rPr>
        <w:t>greater losses in cognitive functioning</w:t>
      </w:r>
      <w:r w:rsidR="00781E4F" w:rsidRPr="004D4C57">
        <w:rPr>
          <w:color w:val="000000" w:themeColor="text1"/>
        </w:rPr>
        <w:t xml:space="preserve"> (see the OSM for a discussion of non-significant retirement main effects)</w:t>
      </w:r>
      <w:r w:rsidR="009914CF" w:rsidRPr="004D4C57">
        <w:rPr>
          <w:color w:val="000000" w:themeColor="text1"/>
        </w:rPr>
        <w:t xml:space="preserve">. </w:t>
      </w:r>
      <w:r w:rsidR="00A22AC1" w:rsidRPr="004D4C57">
        <w:rPr>
          <w:color w:val="000000" w:themeColor="text1"/>
        </w:rPr>
        <w:t xml:space="preserve">Results showing the </w:t>
      </w:r>
      <w:r w:rsidR="00410A1A" w:rsidRPr="004D4C57">
        <w:rPr>
          <w:color w:val="000000" w:themeColor="text1"/>
        </w:rPr>
        <w:t xml:space="preserve">association between </w:t>
      </w:r>
      <w:r w:rsidR="00D019C7" w:rsidRPr="004D4C57">
        <w:rPr>
          <w:color w:val="000000" w:themeColor="text1"/>
        </w:rPr>
        <w:t xml:space="preserve">retirement </w:t>
      </w:r>
      <w:r w:rsidR="00410A1A" w:rsidRPr="004D4C57">
        <w:rPr>
          <w:color w:val="000000" w:themeColor="text1"/>
        </w:rPr>
        <w:t xml:space="preserve">and </w:t>
      </w:r>
      <w:r w:rsidR="009B1EA3" w:rsidRPr="004D4C57">
        <w:rPr>
          <w:color w:val="000000" w:themeColor="text1"/>
        </w:rPr>
        <w:t>developmental change</w:t>
      </w:r>
      <w:r w:rsidR="00092F5F" w:rsidRPr="004D4C57">
        <w:rPr>
          <w:color w:val="000000" w:themeColor="text1"/>
        </w:rPr>
        <w:t>s</w:t>
      </w:r>
      <w:r w:rsidR="009B1EA3" w:rsidRPr="004D4C57">
        <w:rPr>
          <w:color w:val="000000" w:themeColor="text1"/>
        </w:rPr>
        <w:t xml:space="preserve"> in </w:t>
      </w:r>
      <w:r w:rsidR="00887DBB" w:rsidRPr="004D4C57">
        <w:rPr>
          <w:color w:val="000000" w:themeColor="text1"/>
        </w:rPr>
        <w:t>cognition</w:t>
      </w:r>
      <w:r w:rsidR="00D019C7" w:rsidRPr="004D4C57">
        <w:rPr>
          <w:color w:val="000000" w:themeColor="text1"/>
        </w:rPr>
        <w:t xml:space="preserve"> depend on </w:t>
      </w:r>
      <w:r w:rsidR="00147F60" w:rsidRPr="004D4C57">
        <w:rPr>
          <w:color w:val="000000" w:themeColor="text1"/>
        </w:rPr>
        <w:t xml:space="preserve">individual differences in goal disengagement </w:t>
      </w:r>
      <w:r w:rsidR="00A22AC1" w:rsidRPr="004D4C57">
        <w:rPr>
          <w:color w:val="000000" w:themeColor="text1"/>
        </w:rPr>
        <w:t xml:space="preserve">are </w:t>
      </w:r>
      <w:r w:rsidR="00147F60" w:rsidRPr="004D4C57">
        <w:rPr>
          <w:color w:val="000000" w:themeColor="text1"/>
        </w:rPr>
        <w:t xml:space="preserve">consistent with </w:t>
      </w:r>
      <w:r w:rsidR="00C27F2D" w:rsidRPr="004D4C57">
        <w:rPr>
          <w:color w:val="000000" w:themeColor="text1"/>
        </w:rPr>
        <w:t xml:space="preserve">the </w:t>
      </w:r>
      <w:r w:rsidR="007F016C" w:rsidRPr="004D4C57">
        <w:rPr>
          <w:color w:val="000000" w:themeColor="text1"/>
        </w:rPr>
        <w:t>MTD</w:t>
      </w:r>
      <w:r w:rsidR="00510BB1" w:rsidRPr="004D4C57">
        <w:rPr>
          <w:color w:val="000000" w:themeColor="text1"/>
        </w:rPr>
        <w:t xml:space="preserve"> </w:t>
      </w:r>
      <w:r w:rsidR="00C27F2D" w:rsidRPr="004D4C57">
        <w:rPr>
          <w:color w:val="000000" w:themeColor="text1"/>
        </w:rPr>
        <w:t xml:space="preserve">and the use-it-or-lose-it hypothesis (Heckhausen et al., 2019; </w:t>
      </w:r>
      <w:r w:rsidR="00510BB1" w:rsidRPr="004D4C57">
        <w:rPr>
          <w:color w:val="000000" w:themeColor="text1"/>
        </w:rPr>
        <w:t>Hertzog et al., 200</w:t>
      </w:r>
      <w:r w:rsidR="009A5A1E" w:rsidRPr="004D4C57">
        <w:rPr>
          <w:color w:val="000000" w:themeColor="text1"/>
        </w:rPr>
        <w:t>8</w:t>
      </w:r>
      <w:r w:rsidR="00510BB1" w:rsidRPr="004D4C57">
        <w:rPr>
          <w:color w:val="000000" w:themeColor="text1"/>
        </w:rPr>
        <w:t xml:space="preserve">; </w:t>
      </w:r>
      <w:proofErr w:type="spellStart"/>
      <w:r w:rsidR="00C27F2D" w:rsidRPr="004D4C57">
        <w:rPr>
          <w:color w:val="000000" w:themeColor="text1"/>
        </w:rPr>
        <w:t>Hultsch</w:t>
      </w:r>
      <w:proofErr w:type="spellEnd"/>
      <w:r w:rsidR="004573AD" w:rsidRPr="004D4C57">
        <w:rPr>
          <w:color w:val="000000" w:themeColor="text1"/>
        </w:rPr>
        <w:t xml:space="preserve"> et al., </w:t>
      </w:r>
      <w:r w:rsidR="00C27F2D" w:rsidRPr="004D4C57">
        <w:rPr>
          <w:color w:val="000000" w:themeColor="text1"/>
        </w:rPr>
        <w:t>1999)</w:t>
      </w:r>
      <w:r w:rsidR="00147F60" w:rsidRPr="004D4C57">
        <w:rPr>
          <w:color w:val="000000" w:themeColor="text1"/>
        </w:rPr>
        <w:t>.</w:t>
      </w:r>
      <w:r w:rsidR="00B368EF" w:rsidRPr="004D4C57">
        <w:rPr>
          <w:color w:val="000000" w:themeColor="text1"/>
        </w:rPr>
        <w:t xml:space="preserve"> </w:t>
      </w:r>
      <w:r w:rsidR="006E40F8" w:rsidRPr="004D4C57">
        <w:rPr>
          <w:color w:val="000000" w:themeColor="text1"/>
        </w:rPr>
        <w:t>T</w:t>
      </w:r>
      <w:r w:rsidR="00B368EF" w:rsidRPr="004D4C57">
        <w:rPr>
          <w:color w:val="000000" w:themeColor="text1"/>
        </w:rPr>
        <w:t xml:space="preserve">hese findings </w:t>
      </w:r>
      <w:r w:rsidR="00D34E39" w:rsidRPr="004D4C57">
        <w:rPr>
          <w:color w:val="000000" w:themeColor="text1"/>
        </w:rPr>
        <w:t>highlight</w:t>
      </w:r>
      <w:r w:rsidR="00B368EF" w:rsidRPr="004D4C57">
        <w:rPr>
          <w:color w:val="000000" w:themeColor="text1"/>
        </w:rPr>
        <w:t xml:space="preserve"> the trade-off between individual agency and social context in regulating individuals’ development (Heckhausen</w:t>
      </w:r>
      <w:r w:rsidR="001D534D" w:rsidRPr="004D4C57">
        <w:rPr>
          <w:color w:val="000000" w:themeColor="text1"/>
        </w:rPr>
        <w:t xml:space="preserve"> et al.</w:t>
      </w:r>
      <w:r w:rsidR="00B368EF" w:rsidRPr="004D4C57">
        <w:rPr>
          <w:color w:val="000000" w:themeColor="text1"/>
        </w:rPr>
        <w:t>, 1999</w:t>
      </w:r>
      <w:r w:rsidR="001D534D" w:rsidRPr="004D4C57">
        <w:rPr>
          <w:color w:val="000000" w:themeColor="text1"/>
        </w:rPr>
        <w:t>,</w:t>
      </w:r>
      <w:r w:rsidR="00B368EF" w:rsidRPr="004D4C57">
        <w:rPr>
          <w:color w:val="000000" w:themeColor="text1"/>
        </w:rPr>
        <w:t xml:space="preserve"> 2019). With the absence of structured work-based cognitive activity after retirement, the regulatory challenge to maintain cognitively demanding activities falls to the individual. This </w:t>
      </w:r>
      <w:r w:rsidR="001D534D" w:rsidRPr="004D4C57">
        <w:rPr>
          <w:color w:val="000000" w:themeColor="text1"/>
        </w:rPr>
        <w:t>may</w:t>
      </w:r>
      <w:r w:rsidR="00B368EF" w:rsidRPr="004D4C57">
        <w:rPr>
          <w:color w:val="000000" w:themeColor="text1"/>
        </w:rPr>
        <w:t xml:space="preserve"> </w:t>
      </w:r>
      <w:r w:rsidR="00D445B5" w:rsidRPr="004D4C57">
        <w:rPr>
          <w:color w:val="000000" w:themeColor="text1"/>
        </w:rPr>
        <w:t>be</w:t>
      </w:r>
      <w:r w:rsidR="00B368EF" w:rsidRPr="004D4C57">
        <w:rPr>
          <w:color w:val="000000" w:themeColor="text1"/>
        </w:rPr>
        <w:t xml:space="preserve"> a significant challenge for </w:t>
      </w:r>
      <w:r w:rsidR="00347EDE" w:rsidRPr="004D4C57">
        <w:rPr>
          <w:color w:val="000000" w:themeColor="text1"/>
        </w:rPr>
        <w:t>those</w:t>
      </w:r>
      <w:r w:rsidR="00B368EF" w:rsidRPr="004D4C57">
        <w:rPr>
          <w:color w:val="000000" w:themeColor="text1"/>
        </w:rPr>
        <w:t xml:space="preserve"> </w:t>
      </w:r>
      <w:r w:rsidR="001D534D" w:rsidRPr="004D4C57">
        <w:rPr>
          <w:color w:val="000000" w:themeColor="text1"/>
        </w:rPr>
        <w:t>prone</w:t>
      </w:r>
      <w:r w:rsidR="00B368EF" w:rsidRPr="004D4C57">
        <w:rPr>
          <w:color w:val="000000" w:themeColor="text1"/>
        </w:rPr>
        <w:t xml:space="preserve"> to disengage from difficult tasks and goals.</w:t>
      </w:r>
    </w:p>
    <w:p w14:paraId="11BB33AD" w14:textId="070D0EB6" w:rsidR="00834547" w:rsidRPr="004D4C57" w:rsidRDefault="00347EDE" w:rsidP="00834547">
      <w:pPr>
        <w:spacing w:line="480" w:lineRule="auto"/>
        <w:ind w:firstLine="720"/>
        <w:rPr>
          <w:color w:val="000000" w:themeColor="text1"/>
        </w:rPr>
      </w:pPr>
      <w:r w:rsidRPr="004D4C57">
        <w:rPr>
          <w:color w:val="000000" w:themeColor="text1"/>
        </w:rPr>
        <w:t>G</w:t>
      </w:r>
      <w:r w:rsidR="00834547" w:rsidRPr="004D4C57">
        <w:rPr>
          <w:color w:val="000000" w:themeColor="text1"/>
        </w:rPr>
        <w:t xml:space="preserve">oal disengagement </w:t>
      </w:r>
      <w:r w:rsidR="00302F01" w:rsidRPr="004D4C57">
        <w:rPr>
          <w:color w:val="000000" w:themeColor="text1"/>
        </w:rPr>
        <w:t xml:space="preserve">tendencies may </w:t>
      </w:r>
      <w:r w:rsidR="00834547" w:rsidRPr="004D4C57">
        <w:rPr>
          <w:color w:val="000000" w:themeColor="text1"/>
        </w:rPr>
        <w:t xml:space="preserve">undermine the motivation needed to capitalize on new opportunities for </w:t>
      </w:r>
      <w:r w:rsidR="00D24E71" w:rsidRPr="004D4C57">
        <w:rPr>
          <w:color w:val="000000" w:themeColor="text1"/>
        </w:rPr>
        <w:t xml:space="preserve">active </w:t>
      </w:r>
      <w:r w:rsidR="00834547" w:rsidRPr="004D4C57">
        <w:rPr>
          <w:color w:val="000000" w:themeColor="text1"/>
        </w:rPr>
        <w:t xml:space="preserve">engagement </w:t>
      </w:r>
      <w:r w:rsidR="003670B4" w:rsidRPr="004D4C57">
        <w:rPr>
          <w:color w:val="000000" w:themeColor="text1"/>
        </w:rPr>
        <w:t>during</w:t>
      </w:r>
      <w:r w:rsidR="00834547" w:rsidRPr="004D4C57">
        <w:rPr>
          <w:color w:val="000000" w:themeColor="text1"/>
        </w:rPr>
        <w:t xml:space="preserve"> retirement </w:t>
      </w:r>
      <w:r w:rsidR="003670B4" w:rsidRPr="004D4C57">
        <w:rPr>
          <w:color w:val="000000" w:themeColor="text1"/>
        </w:rPr>
        <w:t xml:space="preserve">transitions that remove previous </w:t>
      </w:r>
      <w:r w:rsidR="00D24E71" w:rsidRPr="004D4C57">
        <w:rPr>
          <w:color w:val="000000" w:themeColor="text1"/>
        </w:rPr>
        <w:t>societal</w:t>
      </w:r>
      <w:r w:rsidR="003670B4" w:rsidRPr="004D4C57">
        <w:rPr>
          <w:color w:val="000000" w:themeColor="text1"/>
        </w:rPr>
        <w:t xml:space="preserve"> scaffolds </w:t>
      </w:r>
      <w:r w:rsidR="00834547" w:rsidRPr="004D4C57">
        <w:rPr>
          <w:color w:val="000000" w:themeColor="text1"/>
        </w:rPr>
        <w:t xml:space="preserve">(Hamm et al., 2019). This would be maladaptive </w:t>
      </w:r>
      <w:r w:rsidR="008D6A82" w:rsidRPr="004D4C57">
        <w:rPr>
          <w:color w:val="000000" w:themeColor="text1"/>
        </w:rPr>
        <w:t>if</w:t>
      </w:r>
      <w:r w:rsidR="00834547" w:rsidRPr="004D4C57">
        <w:rPr>
          <w:color w:val="000000" w:themeColor="text1"/>
        </w:rPr>
        <w:t xml:space="preserve"> </w:t>
      </w:r>
      <w:r w:rsidR="00D24E71" w:rsidRPr="004D4C57">
        <w:rPr>
          <w:color w:val="000000" w:themeColor="text1"/>
        </w:rPr>
        <w:t xml:space="preserve">individuals prone to </w:t>
      </w:r>
      <w:r w:rsidR="00834547" w:rsidRPr="004D4C57">
        <w:rPr>
          <w:color w:val="000000" w:themeColor="text1"/>
        </w:rPr>
        <w:t xml:space="preserve">goal disengagement </w:t>
      </w:r>
      <w:r w:rsidR="00D24E71" w:rsidRPr="004D4C57">
        <w:rPr>
          <w:color w:val="000000" w:themeColor="text1"/>
        </w:rPr>
        <w:t>fail to replace</w:t>
      </w:r>
      <w:r w:rsidR="00834547" w:rsidRPr="004D4C57">
        <w:rPr>
          <w:color w:val="000000" w:themeColor="text1"/>
        </w:rPr>
        <w:t xml:space="preserve"> mentally </w:t>
      </w:r>
      <w:r w:rsidR="00D34E39" w:rsidRPr="004D4C57">
        <w:rPr>
          <w:color w:val="000000" w:themeColor="text1"/>
        </w:rPr>
        <w:t xml:space="preserve">stimulating </w:t>
      </w:r>
      <w:r w:rsidR="00834547" w:rsidRPr="004D4C57">
        <w:rPr>
          <w:color w:val="000000" w:themeColor="text1"/>
        </w:rPr>
        <w:t xml:space="preserve">work </w:t>
      </w:r>
      <w:r w:rsidR="00D34E39" w:rsidRPr="004D4C57">
        <w:rPr>
          <w:color w:val="000000" w:themeColor="text1"/>
        </w:rPr>
        <w:t xml:space="preserve">activities in </w:t>
      </w:r>
      <w:r w:rsidR="00834547" w:rsidRPr="004D4C57">
        <w:rPr>
          <w:color w:val="000000" w:themeColor="text1"/>
        </w:rPr>
        <w:t xml:space="preserve">retirement (Lachman et al., 2010). </w:t>
      </w:r>
      <w:r w:rsidR="00D34E39" w:rsidRPr="004D4C57">
        <w:rPr>
          <w:color w:val="000000" w:themeColor="text1"/>
        </w:rPr>
        <w:t>Our</w:t>
      </w:r>
      <w:r w:rsidR="00834547" w:rsidRPr="004D4C57">
        <w:rPr>
          <w:color w:val="000000" w:themeColor="text1"/>
        </w:rPr>
        <w:t xml:space="preserve"> study </w:t>
      </w:r>
      <w:r w:rsidR="008B72AC" w:rsidRPr="004D4C57">
        <w:rPr>
          <w:color w:val="000000" w:themeColor="text1"/>
        </w:rPr>
        <w:t>support</w:t>
      </w:r>
      <w:r w:rsidR="00D34E39" w:rsidRPr="004D4C57">
        <w:rPr>
          <w:color w:val="000000" w:themeColor="text1"/>
        </w:rPr>
        <w:t>s</w:t>
      </w:r>
      <w:r w:rsidR="00834547" w:rsidRPr="004D4C57">
        <w:rPr>
          <w:color w:val="000000" w:themeColor="text1"/>
        </w:rPr>
        <w:t xml:space="preserve"> this logic in showing that retirement was only associated with decline</w:t>
      </w:r>
      <w:r w:rsidR="001E118F" w:rsidRPr="004D4C57">
        <w:rPr>
          <w:color w:val="000000" w:themeColor="text1"/>
        </w:rPr>
        <w:t>s</w:t>
      </w:r>
      <w:r w:rsidR="00834547" w:rsidRPr="004D4C57">
        <w:rPr>
          <w:color w:val="000000" w:themeColor="text1"/>
        </w:rPr>
        <w:t xml:space="preserve"> among those high in goal disengagement.</w:t>
      </w:r>
    </w:p>
    <w:p w14:paraId="7180A851" w14:textId="6BEDB077" w:rsidR="00700453" w:rsidRPr="004D4C57" w:rsidRDefault="00F956BD" w:rsidP="004F6BD3">
      <w:pPr>
        <w:spacing w:line="480" w:lineRule="auto"/>
        <w:ind w:firstLine="720"/>
        <w:rPr>
          <w:color w:val="000000" w:themeColor="text1"/>
        </w:rPr>
      </w:pPr>
      <w:r w:rsidRPr="004D4C57">
        <w:rPr>
          <w:color w:val="000000" w:themeColor="text1"/>
        </w:rPr>
        <w:lastRenderedPageBreak/>
        <w:t>G</w:t>
      </w:r>
      <w:r w:rsidR="0006747A" w:rsidRPr="004D4C57">
        <w:rPr>
          <w:color w:val="000000" w:themeColor="text1"/>
        </w:rPr>
        <w:t xml:space="preserve">ender further moderated </w:t>
      </w:r>
      <w:r w:rsidR="002B219C" w:rsidRPr="004D4C57">
        <w:rPr>
          <w:color w:val="000000" w:themeColor="text1"/>
        </w:rPr>
        <w:t xml:space="preserve">these </w:t>
      </w:r>
      <w:r w:rsidR="00AF6535" w:rsidRPr="004D4C57">
        <w:rPr>
          <w:color w:val="000000" w:themeColor="text1"/>
        </w:rPr>
        <w:t>associations</w:t>
      </w:r>
      <w:r w:rsidR="00FF0D53" w:rsidRPr="004D4C57">
        <w:rPr>
          <w:color w:val="000000" w:themeColor="text1"/>
        </w:rPr>
        <w:t xml:space="preserve">, such that </w:t>
      </w:r>
      <w:r w:rsidR="00591049" w:rsidRPr="004D4C57">
        <w:rPr>
          <w:color w:val="000000" w:themeColor="text1"/>
        </w:rPr>
        <w:t xml:space="preserve">retiring only predicted </w:t>
      </w:r>
      <w:r w:rsidR="00D9788B" w:rsidRPr="004D4C57">
        <w:rPr>
          <w:color w:val="000000" w:themeColor="text1"/>
        </w:rPr>
        <w:t>cognitive decline</w:t>
      </w:r>
      <w:r w:rsidR="00195087" w:rsidRPr="004D4C57">
        <w:rPr>
          <w:color w:val="000000" w:themeColor="text1"/>
        </w:rPr>
        <w:t>s</w:t>
      </w:r>
      <w:r w:rsidR="00D9788B" w:rsidRPr="004D4C57">
        <w:rPr>
          <w:color w:val="000000" w:themeColor="text1"/>
        </w:rPr>
        <w:t xml:space="preserve"> for women high in goal disengagement. </w:t>
      </w:r>
      <w:r w:rsidR="00660B2E" w:rsidRPr="004D4C57">
        <w:rPr>
          <w:color w:val="000000" w:themeColor="text1"/>
        </w:rPr>
        <w:t xml:space="preserve">Previous </w:t>
      </w:r>
      <w:r w:rsidR="006C3D9D" w:rsidRPr="004D4C57">
        <w:rPr>
          <w:color w:val="000000" w:themeColor="text1"/>
        </w:rPr>
        <w:t>research</w:t>
      </w:r>
      <w:r w:rsidR="00660B2E" w:rsidRPr="004D4C57">
        <w:rPr>
          <w:color w:val="000000" w:themeColor="text1"/>
        </w:rPr>
        <w:t xml:space="preserve"> points to several possible </w:t>
      </w:r>
      <w:r w:rsidR="00DE4DE3" w:rsidRPr="004D4C57">
        <w:rPr>
          <w:color w:val="000000" w:themeColor="text1"/>
        </w:rPr>
        <w:t>mechanisms that may underlie this effect</w:t>
      </w:r>
      <w:r w:rsidR="00660B2E" w:rsidRPr="004D4C57">
        <w:rPr>
          <w:color w:val="000000" w:themeColor="text1"/>
        </w:rPr>
        <w:t xml:space="preserve">. </w:t>
      </w:r>
      <w:r w:rsidR="00444878" w:rsidRPr="004D4C57">
        <w:rPr>
          <w:color w:val="000000" w:themeColor="text1"/>
        </w:rPr>
        <w:t xml:space="preserve">For instance, some evidence suggests </w:t>
      </w:r>
      <w:r w:rsidR="006C3D9D" w:rsidRPr="004D4C57">
        <w:rPr>
          <w:color w:val="000000" w:themeColor="text1"/>
        </w:rPr>
        <w:t xml:space="preserve">women may have greater difficulty adapting to retirement </w:t>
      </w:r>
      <w:r w:rsidR="009422C3" w:rsidRPr="004D4C57">
        <w:rPr>
          <w:color w:val="000000" w:themeColor="text1"/>
        </w:rPr>
        <w:t xml:space="preserve">(e.g., women report more negative attitudes toward retirement and exhibit more depressive symptoms; </w:t>
      </w:r>
      <w:r w:rsidR="000B0DE6" w:rsidRPr="004D4C57">
        <w:rPr>
          <w:color w:val="000000" w:themeColor="text1"/>
        </w:rPr>
        <w:t>Kim &amp; Moen, 2001)</w:t>
      </w:r>
      <w:r w:rsidR="00444878" w:rsidRPr="004D4C57">
        <w:rPr>
          <w:color w:val="000000" w:themeColor="text1"/>
        </w:rPr>
        <w:t xml:space="preserve">. Women </w:t>
      </w:r>
      <w:r w:rsidR="006C3D9D" w:rsidRPr="004D4C57">
        <w:rPr>
          <w:color w:val="000000" w:themeColor="text1"/>
        </w:rPr>
        <w:t xml:space="preserve">are </w:t>
      </w:r>
      <w:r w:rsidR="00444878" w:rsidRPr="004D4C57">
        <w:rPr>
          <w:color w:val="000000" w:themeColor="text1"/>
        </w:rPr>
        <w:t xml:space="preserve">also </w:t>
      </w:r>
      <w:r w:rsidR="006C3D9D" w:rsidRPr="004D4C57">
        <w:rPr>
          <w:color w:val="000000" w:themeColor="text1"/>
        </w:rPr>
        <w:t>less likely to hold specific goals for active engagement in retirement</w:t>
      </w:r>
      <w:r w:rsidR="00444878" w:rsidRPr="004D4C57">
        <w:rPr>
          <w:color w:val="000000" w:themeColor="text1"/>
        </w:rPr>
        <w:t xml:space="preserve"> and participate</w:t>
      </w:r>
      <w:r w:rsidR="006C3D9D" w:rsidRPr="004D4C57">
        <w:rPr>
          <w:color w:val="000000" w:themeColor="text1"/>
        </w:rPr>
        <w:t xml:space="preserve"> in fewer post-retirement hobbies (Moen</w:t>
      </w:r>
      <w:r w:rsidR="008744F5" w:rsidRPr="004D4C57">
        <w:rPr>
          <w:color w:val="000000" w:themeColor="text1"/>
        </w:rPr>
        <w:t xml:space="preserve"> et al.</w:t>
      </w:r>
      <w:r w:rsidR="006C3D9D" w:rsidRPr="004D4C57">
        <w:rPr>
          <w:color w:val="000000" w:themeColor="text1"/>
        </w:rPr>
        <w:t>, 2006; Wang &amp; Shi, 2014).</w:t>
      </w:r>
      <w:r w:rsidR="00175E6D" w:rsidRPr="004D4C57">
        <w:rPr>
          <w:color w:val="000000" w:themeColor="text1"/>
        </w:rPr>
        <w:t xml:space="preserve"> </w:t>
      </w:r>
      <w:r w:rsidRPr="004D4C57">
        <w:rPr>
          <w:color w:val="000000" w:themeColor="text1"/>
        </w:rPr>
        <w:t>F</w:t>
      </w:r>
      <w:r w:rsidR="00CF0F87" w:rsidRPr="004D4C57">
        <w:rPr>
          <w:color w:val="000000" w:themeColor="text1"/>
        </w:rPr>
        <w:t xml:space="preserve">emale retirees high in goal disengagement may </w:t>
      </w:r>
      <w:r w:rsidRPr="004D4C57">
        <w:rPr>
          <w:color w:val="000000" w:themeColor="text1"/>
        </w:rPr>
        <w:t xml:space="preserve">thus </w:t>
      </w:r>
      <w:r w:rsidR="00CF0F87" w:rsidRPr="004D4C57">
        <w:rPr>
          <w:color w:val="000000" w:themeColor="text1"/>
        </w:rPr>
        <w:t xml:space="preserve">be less likely to seek out </w:t>
      </w:r>
      <w:r w:rsidR="004C0049" w:rsidRPr="004D4C57">
        <w:rPr>
          <w:color w:val="000000" w:themeColor="text1"/>
        </w:rPr>
        <w:t xml:space="preserve">and maintain </w:t>
      </w:r>
      <w:r w:rsidR="00692AED" w:rsidRPr="004D4C57">
        <w:rPr>
          <w:color w:val="000000" w:themeColor="text1"/>
        </w:rPr>
        <w:t xml:space="preserve">new </w:t>
      </w:r>
      <w:r w:rsidR="00CF0F87" w:rsidRPr="004D4C57">
        <w:rPr>
          <w:color w:val="000000" w:themeColor="text1"/>
        </w:rPr>
        <w:t xml:space="preserve">mentally stimulating activities that </w:t>
      </w:r>
      <w:r w:rsidR="001D534D" w:rsidRPr="004D4C57">
        <w:rPr>
          <w:color w:val="000000" w:themeColor="text1"/>
        </w:rPr>
        <w:t>can</w:t>
      </w:r>
      <w:r w:rsidR="00CF0F87" w:rsidRPr="004D4C57">
        <w:rPr>
          <w:color w:val="000000" w:themeColor="text1"/>
        </w:rPr>
        <w:t xml:space="preserve"> </w:t>
      </w:r>
      <w:r w:rsidR="001D534D" w:rsidRPr="004D4C57">
        <w:rPr>
          <w:color w:val="000000" w:themeColor="text1"/>
        </w:rPr>
        <w:t xml:space="preserve">sustain </w:t>
      </w:r>
      <w:r w:rsidR="00CF0F87" w:rsidRPr="004D4C57">
        <w:rPr>
          <w:color w:val="000000" w:themeColor="text1"/>
        </w:rPr>
        <w:t>cognitive functioning (Lachman et al., 2010).</w:t>
      </w:r>
      <w:r w:rsidR="001026E2" w:rsidRPr="004D4C57">
        <w:rPr>
          <w:color w:val="000000" w:themeColor="text1"/>
        </w:rPr>
        <w:t xml:space="preserve"> </w:t>
      </w:r>
      <w:r w:rsidR="00684567" w:rsidRPr="004D4C57">
        <w:rPr>
          <w:color w:val="000000" w:themeColor="text1"/>
        </w:rPr>
        <w:t xml:space="preserve">Accelerated declines could occur under these circumstances considering that women typically enter retirement with fewer socioeconomic resources that can buffer against losses in cognition (Hughes et al., 2014; </w:t>
      </w:r>
      <w:proofErr w:type="spellStart"/>
      <w:r w:rsidR="00684567" w:rsidRPr="004D4C57">
        <w:rPr>
          <w:color w:val="000000" w:themeColor="text1"/>
        </w:rPr>
        <w:t>Wickrama</w:t>
      </w:r>
      <w:proofErr w:type="spellEnd"/>
      <w:r w:rsidR="00684567" w:rsidRPr="004D4C57">
        <w:rPr>
          <w:color w:val="000000" w:themeColor="text1"/>
        </w:rPr>
        <w:t xml:space="preserve"> et al., 2013).</w:t>
      </w:r>
    </w:p>
    <w:p w14:paraId="6895D200" w14:textId="1897B34E" w:rsidR="00AA53F3" w:rsidRPr="004D4C57" w:rsidRDefault="00700453" w:rsidP="004F6BD3">
      <w:pPr>
        <w:spacing w:line="480" w:lineRule="auto"/>
        <w:ind w:firstLine="720"/>
        <w:rPr>
          <w:color w:val="000000" w:themeColor="text1"/>
        </w:rPr>
      </w:pPr>
      <w:r w:rsidRPr="004D4C57">
        <w:rPr>
          <w:color w:val="000000" w:themeColor="text1"/>
        </w:rPr>
        <w:t xml:space="preserve">Our results indicate that male retirees </w:t>
      </w:r>
      <w:r w:rsidR="00F956BD" w:rsidRPr="004D4C57">
        <w:rPr>
          <w:color w:val="000000" w:themeColor="text1"/>
        </w:rPr>
        <w:t xml:space="preserve">(vs. employees) </w:t>
      </w:r>
      <w:r w:rsidRPr="004D4C57">
        <w:rPr>
          <w:color w:val="000000" w:themeColor="text1"/>
        </w:rPr>
        <w:t xml:space="preserve">high in goal disengagement were not at greater risk of cognitive declines, which is in contrast to the differences observed among women. These divergent </w:t>
      </w:r>
      <w:r w:rsidR="00E82490" w:rsidRPr="004D4C57">
        <w:rPr>
          <w:color w:val="000000" w:themeColor="text1"/>
        </w:rPr>
        <w:t>findings</w:t>
      </w:r>
      <w:r w:rsidRPr="004D4C57">
        <w:rPr>
          <w:color w:val="000000" w:themeColor="text1"/>
        </w:rPr>
        <w:t xml:space="preserve"> may be due to </w:t>
      </w:r>
      <w:r w:rsidR="00E82490" w:rsidRPr="004D4C57">
        <w:rPr>
          <w:color w:val="000000" w:themeColor="text1"/>
        </w:rPr>
        <w:t xml:space="preserve">the higher </w:t>
      </w:r>
      <w:r w:rsidRPr="004D4C57">
        <w:rPr>
          <w:color w:val="000000" w:themeColor="text1"/>
        </w:rPr>
        <w:t xml:space="preserve">socioeconomic status (education, income, occupation) </w:t>
      </w:r>
      <w:r w:rsidR="00E82490" w:rsidRPr="004D4C57">
        <w:rPr>
          <w:color w:val="000000" w:themeColor="text1"/>
        </w:rPr>
        <w:t>of men in our study</w:t>
      </w:r>
      <w:r w:rsidR="009422C3" w:rsidRPr="004D4C57">
        <w:rPr>
          <w:color w:val="000000" w:themeColor="text1"/>
        </w:rPr>
        <w:t>,</w:t>
      </w:r>
      <w:r w:rsidR="00E82490" w:rsidRPr="004D4C57">
        <w:rPr>
          <w:color w:val="000000" w:themeColor="text1"/>
        </w:rPr>
        <w:t xml:space="preserve"> </w:t>
      </w:r>
      <w:r w:rsidR="009422C3" w:rsidRPr="004D4C57">
        <w:rPr>
          <w:color w:val="000000" w:themeColor="text1"/>
        </w:rPr>
        <w:t xml:space="preserve">which could </w:t>
      </w:r>
      <w:r w:rsidR="00E82490" w:rsidRPr="004D4C57">
        <w:rPr>
          <w:color w:val="000000" w:themeColor="text1"/>
        </w:rPr>
        <w:t>have protected them from early declines</w:t>
      </w:r>
      <w:r w:rsidRPr="004D4C57">
        <w:rPr>
          <w:color w:val="000000" w:themeColor="text1"/>
        </w:rPr>
        <w:t xml:space="preserve">. </w:t>
      </w:r>
      <w:r w:rsidR="001026E2" w:rsidRPr="004D4C57">
        <w:rPr>
          <w:color w:val="000000" w:themeColor="text1"/>
        </w:rPr>
        <w:t xml:space="preserve">See the OSM for </w:t>
      </w:r>
      <w:r w:rsidR="003C7452" w:rsidRPr="004D4C57">
        <w:rPr>
          <w:color w:val="000000" w:themeColor="text1"/>
        </w:rPr>
        <w:t xml:space="preserve">a more detailed discussion of gender differences as well as </w:t>
      </w:r>
      <w:r w:rsidR="001026E2" w:rsidRPr="004D4C57">
        <w:rPr>
          <w:color w:val="000000" w:themeColor="text1"/>
        </w:rPr>
        <w:t xml:space="preserve">the differential </w:t>
      </w:r>
      <w:r w:rsidR="003C7452" w:rsidRPr="004D4C57">
        <w:rPr>
          <w:color w:val="000000" w:themeColor="text1"/>
        </w:rPr>
        <w:t xml:space="preserve">effects of </w:t>
      </w:r>
      <w:r w:rsidR="001026E2" w:rsidRPr="004D4C57">
        <w:rPr>
          <w:color w:val="000000" w:themeColor="text1"/>
        </w:rPr>
        <w:t>retirement on the two indicators of cognitive functioning.</w:t>
      </w:r>
    </w:p>
    <w:p w14:paraId="67602758" w14:textId="4E0F3A0D" w:rsidR="00411E09" w:rsidRPr="004D4C57" w:rsidRDefault="00F911DE" w:rsidP="004F6BD3">
      <w:pPr>
        <w:spacing w:line="480" w:lineRule="auto"/>
        <w:rPr>
          <w:b/>
          <w:color w:val="000000" w:themeColor="text1"/>
        </w:rPr>
      </w:pPr>
      <w:r w:rsidRPr="004D4C57">
        <w:rPr>
          <w:b/>
          <w:color w:val="000000" w:themeColor="text1"/>
        </w:rPr>
        <w:t xml:space="preserve">Strengths, </w:t>
      </w:r>
      <w:r w:rsidR="00411E09" w:rsidRPr="004D4C57">
        <w:rPr>
          <w:b/>
          <w:color w:val="000000" w:themeColor="text1"/>
        </w:rPr>
        <w:t>Limitations</w:t>
      </w:r>
      <w:r w:rsidRPr="004D4C57">
        <w:rPr>
          <w:b/>
          <w:color w:val="000000" w:themeColor="text1"/>
        </w:rPr>
        <w:t>,</w:t>
      </w:r>
      <w:r w:rsidR="00411E09" w:rsidRPr="004D4C57">
        <w:rPr>
          <w:b/>
          <w:color w:val="000000" w:themeColor="text1"/>
        </w:rPr>
        <w:t xml:space="preserve"> and Future Directions</w:t>
      </w:r>
    </w:p>
    <w:p w14:paraId="6DD93FC5" w14:textId="6C054A5B" w:rsidR="00F911DE" w:rsidRPr="004D4C57" w:rsidRDefault="00F911DE" w:rsidP="007435EE">
      <w:pPr>
        <w:spacing w:line="480" w:lineRule="auto"/>
        <w:ind w:firstLine="720"/>
        <w:rPr>
          <w:color w:val="000000" w:themeColor="text1"/>
        </w:rPr>
      </w:pPr>
      <w:r w:rsidRPr="004D4C57">
        <w:rPr>
          <w:color w:val="000000" w:themeColor="text1"/>
        </w:rPr>
        <w:t xml:space="preserve">The present study has several strengths. First, our sample was drawn from MIDUS which contains longitudinal data from a national sample of middle-aged and older American adults. Second, our nine-year outcome variables were objectively assessed and comprised previously validated measures of episodic memory and executive functioning (Lachman et al., 2014). Third, </w:t>
      </w:r>
      <w:r w:rsidRPr="004D4C57">
        <w:rPr>
          <w:color w:val="000000" w:themeColor="text1"/>
        </w:rPr>
        <w:lastRenderedPageBreak/>
        <w:t>our analytic approach ensured a region of common support that involved overlapping distributions on age, gender, education, income, occupation, and health status for our propensity score matched samples of retirees and employees (Lee &amp; Little, 2017).</w:t>
      </w:r>
    </w:p>
    <w:p w14:paraId="63D220DE" w14:textId="7EB8508A" w:rsidR="00411E09" w:rsidRPr="004D4C57" w:rsidRDefault="00123291" w:rsidP="007435EE">
      <w:pPr>
        <w:spacing w:line="480" w:lineRule="auto"/>
        <w:ind w:firstLine="720"/>
        <w:rPr>
          <w:color w:val="000000" w:themeColor="text1"/>
        </w:rPr>
      </w:pPr>
      <w:r w:rsidRPr="004D4C57">
        <w:rPr>
          <w:color w:val="000000" w:themeColor="text1"/>
        </w:rPr>
        <w:t xml:space="preserve">One caveat when interpreting our findings is that </w:t>
      </w:r>
      <w:r w:rsidR="009B1AF7" w:rsidRPr="004D4C57">
        <w:rPr>
          <w:color w:val="000000" w:themeColor="text1"/>
        </w:rPr>
        <w:t xml:space="preserve">data on cognitive functioning </w:t>
      </w:r>
      <w:r w:rsidR="009719C4" w:rsidRPr="004D4C57">
        <w:rPr>
          <w:color w:val="000000" w:themeColor="text1"/>
        </w:rPr>
        <w:t xml:space="preserve">were </w:t>
      </w:r>
      <w:r w:rsidR="00411E09" w:rsidRPr="004D4C57">
        <w:rPr>
          <w:color w:val="000000" w:themeColor="text1"/>
        </w:rPr>
        <w:t xml:space="preserve">collected on </w:t>
      </w:r>
      <w:r w:rsidR="009719C4" w:rsidRPr="004D4C57">
        <w:rPr>
          <w:color w:val="000000" w:themeColor="text1"/>
        </w:rPr>
        <w:t xml:space="preserve">only </w:t>
      </w:r>
      <w:r w:rsidR="00411E09" w:rsidRPr="004D4C57">
        <w:rPr>
          <w:color w:val="000000" w:themeColor="text1"/>
        </w:rPr>
        <w:t>two occasions</w:t>
      </w:r>
      <w:r w:rsidR="009719C4" w:rsidRPr="004D4C57">
        <w:rPr>
          <w:color w:val="000000" w:themeColor="text1"/>
        </w:rPr>
        <w:t xml:space="preserve"> over a nine-year period</w:t>
      </w:r>
      <w:r w:rsidR="00411E09" w:rsidRPr="004D4C57">
        <w:rPr>
          <w:color w:val="000000" w:themeColor="text1"/>
        </w:rPr>
        <w:t xml:space="preserve">. Future research </w:t>
      </w:r>
      <w:r w:rsidR="009B1AF7" w:rsidRPr="004D4C57">
        <w:rPr>
          <w:color w:val="000000" w:themeColor="text1"/>
        </w:rPr>
        <w:t>should</w:t>
      </w:r>
      <w:r w:rsidR="00411E09" w:rsidRPr="004D4C57">
        <w:rPr>
          <w:color w:val="000000" w:themeColor="text1"/>
        </w:rPr>
        <w:t xml:space="preserve"> examine </w:t>
      </w:r>
      <w:r w:rsidR="006B0595" w:rsidRPr="004D4C57">
        <w:rPr>
          <w:color w:val="000000" w:themeColor="text1"/>
        </w:rPr>
        <w:t xml:space="preserve">differential </w:t>
      </w:r>
      <w:r w:rsidR="00411E09" w:rsidRPr="004D4C57">
        <w:rPr>
          <w:color w:val="000000" w:themeColor="text1"/>
        </w:rPr>
        <w:t xml:space="preserve">trajectories </w:t>
      </w:r>
      <w:r w:rsidR="006B0595" w:rsidRPr="004D4C57">
        <w:rPr>
          <w:color w:val="000000" w:themeColor="text1"/>
        </w:rPr>
        <w:t xml:space="preserve">for those who retire (vs. remain employed) </w:t>
      </w:r>
      <w:r w:rsidR="007520EE" w:rsidRPr="004D4C57">
        <w:rPr>
          <w:color w:val="000000" w:themeColor="text1"/>
        </w:rPr>
        <w:t xml:space="preserve">based on more frequent assessments of </w:t>
      </w:r>
      <w:r w:rsidR="00494DBA" w:rsidRPr="004D4C57">
        <w:rPr>
          <w:color w:val="000000" w:themeColor="text1"/>
        </w:rPr>
        <w:t xml:space="preserve">cognitive functioning across multiple domains (e.g., language, </w:t>
      </w:r>
      <w:r w:rsidR="001D3AEF" w:rsidRPr="004D4C57">
        <w:rPr>
          <w:color w:val="000000" w:themeColor="text1"/>
        </w:rPr>
        <w:t>visuospatial processing</w:t>
      </w:r>
      <w:r w:rsidR="00494DBA" w:rsidRPr="004D4C57">
        <w:rPr>
          <w:color w:val="000000" w:themeColor="text1"/>
        </w:rPr>
        <w:t>)</w:t>
      </w:r>
      <w:r w:rsidR="00411E09" w:rsidRPr="004D4C57">
        <w:rPr>
          <w:color w:val="000000" w:themeColor="text1"/>
        </w:rPr>
        <w:t>.</w:t>
      </w:r>
      <w:r w:rsidR="00C77DF0" w:rsidRPr="004D4C57">
        <w:rPr>
          <w:color w:val="000000" w:themeColor="text1"/>
        </w:rPr>
        <w:t xml:space="preserve"> </w:t>
      </w:r>
      <w:r w:rsidR="00B32AE8" w:rsidRPr="004D4C57">
        <w:rPr>
          <w:color w:val="000000" w:themeColor="text1"/>
        </w:rPr>
        <w:t xml:space="preserve">A second </w:t>
      </w:r>
      <w:r w:rsidR="003A1E08" w:rsidRPr="004D4C57">
        <w:rPr>
          <w:color w:val="000000" w:themeColor="text1"/>
        </w:rPr>
        <w:t xml:space="preserve">limitation is that the MTD </w:t>
      </w:r>
      <w:r w:rsidR="00B36DAB" w:rsidRPr="004D4C57">
        <w:rPr>
          <w:color w:val="000000" w:themeColor="text1"/>
        </w:rPr>
        <w:t xml:space="preserve">also </w:t>
      </w:r>
      <w:r w:rsidR="003A1E08" w:rsidRPr="004D4C57">
        <w:rPr>
          <w:color w:val="000000" w:themeColor="text1"/>
        </w:rPr>
        <w:t xml:space="preserve">addresses within-person changes in more transient aspects of goal disengagement which were not measured in MIDUS. Future research is needed on the role of task-specific goal disengagement within different life domains such as work and leisure. </w:t>
      </w:r>
      <w:r w:rsidR="005C1952" w:rsidRPr="004D4C57">
        <w:rPr>
          <w:color w:val="000000" w:themeColor="text1"/>
        </w:rPr>
        <w:t xml:space="preserve">A third limitation is the modest internal consistency of our goal disengagement measure. </w:t>
      </w:r>
      <w:r w:rsidR="003A1E08" w:rsidRPr="004D4C57">
        <w:rPr>
          <w:color w:val="000000" w:themeColor="text1"/>
        </w:rPr>
        <w:t xml:space="preserve">A final caveat </w:t>
      </w:r>
      <w:r w:rsidR="00167823" w:rsidRPr="004D4C57">
        <w:rPr>
          <w:color w:val="000000" w:themeColor="text1"/>
        </w:rPr>
        <w:t>is that</w:t>
      </w:r>
      <w:r w:rsidR="008A7C14" w:rsidRPr="004D4C57">
        <w:rPr>
          <w:color w:val="000000" w:themeColor="text1"/>
        </w:rPr>
        <w:t xml:space="preserve"> </w:t>
      </w:r>
      <w:r w:rsidR="009B1AF7" w:rsidRPr="004D4C57">
        <w:rPr>
          <w:color w:val="000000" w:themeColor="text1"/>
        </w:rPr>
        <w:t xml:space="preserve">a majority of </w:t>
      </w:r>
      <w:r w:rsidR="008A7C14" w:rsidRPr="004D4C57">
        <w:rPr>
          <w:color w:val="000000" w:themeColor="text1"/>
        </w:rPr>
        <w:t xml:space="preserve">MIDUS participants </w:t>
      </w:r>
      <w:r w:rsidR="00C77DF0" w:rsidRPr="004D4C57">
        <w:rPr>
          <w:color w:val="000000" w:themeColor="text1"/>
          <w:lang w:val="en-CA"/>
        </w:rPr>
        <w:t xml:space="preserve">were White and </w:t>
      </w:r>
      <w:r w:rsidR="009B1AF7" w:rsidRPr="004D4C57">
        <w:rPr>
          <w:color w:val="000000" w:themeColor="text1"/>
          <w:lang w:val="en-CA"/>
        </w:rPr>
        <w:t>had moderate to high socioeconomic statuses</w:t>
      </w:r>
      <w:r w:rsidR="00C77DF0" w:rsidRPr="004D4C57">
        <w:rPr>
          <w:color w:val="000000" w:themeColor="text1"/>
          <w:lang w:val="en-CA"/>
        </w:rPr>
        <w:t>. It is unclear whether results would generalize to individuals from different backgrounds.</w:t>
      </w:r>
    </w:p>
    <w:p w14:paraId="0F134E3D" w14:textId="5F4CC5DE" w:rsidR="00084899" w:rsidRPr="004D4C57" w:rsidRDefault="000C23EF" w:rsidP="00084899">
      <w:pPr>
        <w:spacing w:line="480" w:lineRule="auto"/>
        <w:rPr>
          <w:color w:val="000000" w:themeColor="text1"/>
        </w:rPr>
      </w:pPr>
      <w:r w:rsidRPr="004D4C57">
        <w:rPr>
          <w:color w:val="000000" w:themeColor="text1"/>
        </w:rPr>
        <w:tab/>
      </w:r>
      <w:r w:rsidR="0023779A" w:rsidRPr="004D4C57">
        <w:rPr>
          <w:color w:val="000000" w:themeColor="text1"/>
        </w:rPr>
        <w:t xml:space="preserve">Future research </w:t>
      </w:r>
      <w:r w:rsidR="008116BE" w:rsidRPr="004D4C57">
        <w:rPr>
          <w:color w:val="000000" w:themeColor="text1"/>
        </w:rPr>
        <w:t>should</w:t>
      </w:r>
      <w:r w:rsidR="0023779A" w:rsidRPr="004D4C57">
        <w:rPr>
          <w:color w:val="000000" w:themeColor="text1"/>
        </w:rPr>
        <w:t xml:space="preserve"> examine the role of individual differences in goal disengagement during other life course transitions that involve increasing (e.g., college entry) and decreasing </w:t>
      </w:r>
      <w:r w:rsidR="007A7947" w:rsidRPr="004D4C57">
        <w:rPr>
          <w:color w:val="000000" w:themeColor="text1"/>
        </w:rPr>
        <w:t xml:space="preserve">autonomy </w:t>
      </w:r>
      <w:r w:rsidR="0023779A" w:rsidRPr="004D4C57">
        <w:rPr>
          <w:color w:val="000000" w:themeColor="text1"/>
        </w:rPr>
        <w:t>(e.g., loss of functioning). According to MTD theory, goal disengagement should be detrimental in the former and beneficial in the latter (Heckhausen et al., 2010, 2019), but research is needed to test this supposition</w:t>
      </w:r>
      <w:r w:rsidRPr="004D4C57">
        <w:rPr>
          <w:color w:val="000000" w:themeColor="text1"/>
        </w:rPr>
        <w:t xml:space="preserve">. </w:t>
      </w:r>
      <w:r w:rsidR="0023779A" w:rsidRPr="004D4C57">
        <w:rPr>
          <w:color w:val="000000" w:themeColor="text1"/>
        </w:rPr>
        <w:t>Further</w:t>
      </w:r>
      <w:r w:rsidR="00680B2B" w:rsidRPr="004D4C57">
        <w:rPr>
          <w:color w:val="000000" w:themeColor="text1"/>
        </w:rPr>
        <w:t xml:space="preserve">, there is a growing literature on the adaptive role of trait-like goal disengagement in response to unattainable goals (Barlow et al., in press; Wrosch et al., 2003). However, less is known about the maladaptive </w:t>
      </w:r>
      <w:r w:rsidR="002315F8" w:rsidRPr="004D4C57">
        <w:rPr>
          <w:color w:val="000000" w:themeColor="text1"/>
        </w:rPr>
        <w:t xml:space="preserve">implications </w:t>
      </w:r>
      <w:r w:rsidR="00680B2B" w:rsidRPr="004D4C57">
        <w:rPr>
          <w:color w:val="000000" w:themeColor="text1"/>
        </w:rPr>
        <w:t xml:space="preserve">of goal disengagement in response to challenging but still achievable goals. Our study provided some </w:t>
      </w:r>
      <w:r w:rsidR="00680B2B" w:rsidRPr="004D4C57">
        <w:rPr>
          <w:color w:val="000000" w:themeColor="text1"/>
        </w:rPr>
        <w:lastRenderedPageBreak/>
        <w:t xml:space="preserve">initial evidence </w:t>
      </w:r>
      <w:r w:rsidR="0023779A" w:rsidRPr="004D4C57">
        <w:rPr>
          <w:color w:val="000000" w:themeColor="text1"/>
        </w:rPr>
        <w:t xml:space="preserve">for one set of developmental conditions </w:t>
      </w:r>
      <w:r w:rsidR="00680B2B" w:rsidRPr="004D4C57">
        <w:rPr>
          <w:color w:val="000000" w:themeColor="text1"/>
        </w:rPr>
        <w:t>under which goal disengagement can be dysfunctional</w:t>
      </w:r>
      <w:r w:rsidR="0023779A" w:rsidRPr="004D4C57">
        <w:rPr>
          <w:color w:val="000000" w:themeColor="text1"/>
        </w:rPr>
        <w:t>, but further research is needed</w:t>
      </w:r>
      <w:r w:rsidR="006F7BC2" w:rsidRPr="004D4C57">
        <w:rPr>
          <w:color w:val="000000" w:themeColor="text1"/>
        </w:rPr>
        <w:t xml:space="preserve"> to address this issue</w:t>
      </w:r>
      <w:r w:rsidR="0023779A" w:rsidRPr="004D4C57">
        <w:rPr>
          <w:color w:val="000000" w:themeColor="text1"/>
        </w:rPr>
        <w:t xml:space="preserve">. </w:t>
      </w:r>
      <w:r w:rsidR="00084899" w:rsidRPr="004D4C57">
        <w:rPr>
          <w:color w:val="000000" w:themeColor="text1"/>
        </w:rPr>
        <w:br w:type="page"/>
      </w:r>
    </w:p>
    <w:p w14:paraId="52CC6C15" w14:textId="77777777" w:rsidR="00DC6534" w:rsidRPr="004D4C57" w:rsidRDefault="00DC6534" w:rsidP="00DC6534">
      <w:pPr>
        <w:widowControl w:val="0"/>
        <w:spacing w:line="480" w:lineRule="auto"/>
        <w:jc w:val="center"/>
        <w:rPr>
          <w:color w:val="000000" w:themeColor="text1"/>
        </w:rPr>
      </w:pPr>
      <w:r w:rsidRPr="004D4C57">
        <w:rPr>
          <w:color w:val="000000" w:themeColor="text1"/>
        </w:rPr>
        <w:lastRenderedPageBreak/>
        <w:t>References</w:t>
      </w:r>
    </w:p>
    <w:p w14:paraId="539A8A08" w14:textId="1374D826" w:rsidR="00DC6534" w:rsidRPr="004D4C57" w:rsidRDefault="00DC6534" w:rsidP="00DC6534">
      <w:pPr>
        <w:pStyle w:val="NoSpacing"/>
        <w:widowControl w:val="0"/>
        <w:spacing w:line="480" w:lineRule="auto"/>
        <w:ind w:left="709" w:hanging="709"/>
        <w:outlineLvl w:val="0"/>
        <w:rPr>
          <w:color w:val="000000" w:themeColor="text1"/>
          <w:lang w:val="en-CA"/>
        </w:rPr>
      </w:pPr>
      <w:proofErr w:type="spellStart"/>
      <w:r w:rsidRPr="004D4C57">
        <w:rPr>
          <w:color w:val="000000" w:themeColor="text1"/>
          <w:lang w:val="en-CA"/>
        </w:rPr>
        <w:t>Asperholm</w:t>
      </w:r>
      <w:proofErr w:type="spellEnd"/>
      <w:r w:rsidRPr="004D4C57">
        <w:rPr>
          <w:color w:val="000000" w:themeColor="text1"/>
          <w:lang w:val="en-CA"/>
        </w:rPr>
        <w:t xml:space="preserve">, M., </w:t>
      </w:r>
      <w:proofErr w:type="spellStart"/>
      <w:r w:rsidRPr="004D4C57">
        <w:rPr>
          <w:color w:val="000000" w:themeColor="text1"/>
          <w:lang w:val="en-CA"/>
        </w:rPr>
        <w:t>Högman</w:t>
      </w:r>
      <w:proofErr w:type="spellEnd"/>
      <w:r w:rsidRPr="004D4C57">
        <w:rPr>
          <w:color w:val="000000" w:themeColor="text1"/>
          <w:lang w:val="en-CA"/>
        </w:rPr>
        <w:t xml:space="preserve">, N., Rafi, J., &amp; </w:t>
      </w:r>
      <w:proofErr w:type="spellStart"/>
      <w:r w:rsidRPr="004D4C57">
        <w:rPr>
          <w:color w:val="000000" w:themeColor="text1"/>
          <w:lang w:val="en-CA"/>
        </w:rPr>
        <w:t>Herlitz</w:t>
      </w:r>
      <w:proofErr w:type="spellEnd"/>
      <w:r w:rsidRPr="004D4C57">
        <w:rPr>
          <w:color w:val="000000" w:themeColor="text1"/>
          <w:lang w:val="en-CA"/>
        </w:rPr>
        <w:t>, A. (in press). What did you do yesterday? A meta-analysis of sex differences in episodic memory.</w:t>
      </w:r>
      <w:r w:rsidR="008F24EB" w:rsidRPr="004D4C57">
        <w:rPr>
          <w:color w:val="000000" w:themeColor="text1"/>
          <w:lang w:val="en-CA"/>
        </w:rPr>
        <w:t xml:space="preserve"> </w:t>
      </w:r>
      <w:r w:rsidRPr="004D4C57">
        <w:rPr>
          <w:i/>
          <w:iCs/>
          <w:color w:val="000000" w:themeColor="text1"/>
          <w:lang w:val="en-CA"/>
        </w:rPr>
        <w:t>Psychological Bulletin.</w:t>
      </w:r>
      <w:r w:rsidR="008F24EB" w:rsidRPr="004D4C57">
        <w:rPr>
          <w:color w:val="000000" w:themeColor="text1"/>
          <w:lang w:val="en-CA"/>
        </w:rPr>
        <w:t xml:space="preserve"> </w:t>
      </w:r>
      <w:r w:rsidRPr="004D4C57">
        <w:rPr>
          <w:color w:val="000000" w:themeColor="text1"/>
          <w:lang w:val="en-CA"/>
        </w:rPr>
        <w:t>doi:10.1037/bul0000197</w:t>
      </w:r>
    </w:p>
    <w:p w14:paraId="6AAE28AC" w14:textId="77777777" w:rsidR="00DC6534" w:rsidRPr="004D4C57" w:rsidRDefault="00DC6534" w:rsidP="00DC6534">
      <w:pPr>
        <w:pStyle w:val="NoSpacing"/>
        <w:widowControl w:val="0"/>
        <w:spacing w:line="480" w:lineRule="auto"/>
        <w:ind w:left="709" w:hanging="709"/>
        <w:outlineLvl w:val="0"/>
        <w:rPr>
          <w:color w:val="000000" w:themeColor="text1"/>
          <w:lang w:val="en-CA"/>
        </w:rPr>
      </w:pPr>
      <w:r w:rsidRPr="004D4C57">
        <w:rPr>
          <w:color w:val="000000" w:themeColor="text1"/>
          <w:lang w:val="en-CA"/>
        </w:rPr>
        <w:t>Austin, P. C. (2011). An introduction to propensity score methods for reducing the effects of confounding in observational studies. </w:t>
      </w:r>
      <w:r w:rsidRPr="004D4C57">
        <w:rPr>
          <w:i/>
          <w:iCs/>
          <w:color w:val="000000" w:themeColor="text1"/>
          <w:lang w:val="en-CA"/>
        </w:rPr>
        <w:t>Multivariate Behavioral Research</w:t>
      </w:r>
      <w:r w:rsidRPr="004D4C57">
        <w:rPr>
          <w:color w:val="000000" w:themeColor="text1"/>
          <w:lang w:val="en-CA"/>
        </w:rPr>
        <w:t>, </w:t>
      </w:r>
      <w:r w:rsidRPr="004D4C57">
        <w:rPr>
          <w:i/>
          <w:iCs/>
          <w:color w:val="000000" w:themeColor="text1"/>
          <w:lang w:val="en-CA"/>
        </w:rPr>
        <w:t>46</w:t>
      </w:r>
      <w:r w:rsidRPr="004D4C57">
        <w:rPr>
          <w:color w:val="000000" w:themeColor="text1"/>
          <w:lang w:val="en-CA"/>
        </w:rPr>
        <w:t>, 399-424.</w:t>
      </w:r>
    </w:p>
    <w:p w14:paraId="365B5189" w14:textId="77777777" w:rsidR="00DC6534" w:rsidRPr="004D4C57" w:rsidRDefault="00DC6534" w:rsidP="00DC6534">
      <w:pPr>
        <w:pStyle w:val="NoSpacing"/>
        <w:widowControl w:val="0"/>
        <w:spacing w:line="480" w:lineRule="auto"/>
        <w:ind w:left="709" w:hanging="709"/>
        <w:outlineLvl w:val="0"/>
        <w:rPr>
          <w:i/>
          <w:iCs/>
          <w:color w:val="000000" w:themeColor="text1"/>
          <w:lang w:val="en-CA"/>
        </w:rPr>
      </w:pPr>
      <w:r w:rsidRPr="004D4C57">
        <w:rPr>
          <w:color w:val="000000" w:themeColor="text1"/>
          <w:lang w:val="en-CA"/>
        </w:rPr>
        <w:t xml:space="preserve">Barlow, M., </w:t>
      </w:r>
      <w:proofErr w:type="spellStart"/>
      <w:r w:rsidRPr="004D4C57">
        <w:rPr>
          <w:color w:val="000000" w:themeColor="text1"/>
          <w:lang w:val="en-CA"/>
        </w:rPr>
        <w:t>Wrosch</w:t>
      </w:r>
      <w:proofErr w:type="spellEnd"/>
      <w:r w:rsidRPr="004D4C57">
        <w:rPr>
          <w:color w:val="000000" w:themeColor="text1"/>
          <w:lang w:val="en-CA"/>
        </w:rPr>
        <w:t xml:space="preserve">, C., </w:t>
      </w:r>
      <w:proofErr w:type="spellStart"/>
      <w:r w:rsidRPr="004D4C57">
        <w:rPr>
          <w:color w:val="000000" w:themeColor="text1"/>
          <w:lang w:val="en-CA"/>
        </w:rPr>
        <w:t>McGrather</w:t>
      </w:r>
      <w:proofErr w:type="spellEnd"/>
      <w:r w:rsidRPr="004D4C57">
        <w:rPr>
          <w:color w:val="000000" w:themeColor="text1"/>
          <w:lang w:val="en-CA"/>
        </w:rPr>
        <w:t xml:space="preserve">, J. (in press). Goal adjustment capacities and quality of life: A meta-analytic review. </w:t>
      </w:r>
      <w:r w:rsidRPr="004D4C57">
        <w:rPr>
          <w:i/>
          <w:iCs/>
          <w:color w:val="000000" w:themeColor="text1"/>
          <w:lang w:val="en-CA"/>
        </w:rPr>
        <w:t>Journal of Personality.</w:t>
      </w:r>
    </w:p>
    <w:p w14:paraId="6853C2B1" w14:textId="77777777" w:rsidR="00DC6534" w:rsidRPr="004D4C57" w:rsidRDefault="00DC6534" w:rsidP="00DC6534">
      <w:pPr>
        <w:pStyle w:val="NoSpacing"/>
        <w:widowControl w:val="0"/>
        <w:spacing w:line="480" w:lineRule="auto"/>
        <w:ind w:left="709" w:hanging="709"/>
        <w:outlineLvl w:val="0"/>
        <w:rPr>
          <w:color w:val="000000" w:themeColor="text1"/>
          <w:lang w:val="en-CA"/>
        </w:rPr>
      </w:pPr>
      <w:proofErr w:type="spellStart"/>
      <w:r w:rsidRPr="004D4C57">
        <w:rPr>
          <w:color w:val="000000" w:themeColor="text1"/>
          <w:lang w:val="en-CA"/>
        </w:rPr>
        <w:t>Bonsang</w:t>
      </w:r>
      <w:proofErr w:type="spellEnd"/>
      <w:r w:rsidRPr="004D4C57">
        <w:rPr>
          <w:color w:val="000000" w:themeColor="text1"/>
          <w:lang w:val="en-CA"/>
        </w:rPr>
        <w:t>, E., Adam, S., &amp; Perelman, S. (2012). Does retirement affect cognitive functioning? </w:t>
      </w:r>
      <w:r w:rsidRPr="004D4C57">
        <w:rPr>
          <w:i/>
          <w:iCs/>
          <w:color w:val="000000" w:themeColor="text1"/>
          <w:lang w:val="en-CA"/>
        </w:rPr>
        <w:t>Journal of Health Economics</w:t>
      </w:r>
      <w:r w:rsidRPr="004D4C57">
        <w:rPr>
          <w:color w:val="000000" w:themeColor="text1"/>
          <w:lang w:val="en-CA"/>
        </w:rPr>
        <w:t>, </w:t>
      </w:r>
      <w:r w:rsidRPr="004D4C57">
        <w:rPr>
          <w:i/>
          <w:iCs/>
          <w:color w:val="000000" w:themeColor="text1"/>
          <w:lang w:val="en-CA"/>
        </w:rPr>
        <w:t>31</w:t>
      </w:r>
      <w:r w:rsidRPr="004D4C57">
        <w:rPr>
          <w:color w:val="000000" w:themeColor="text1"/>
          <w:lang w:val="en-CA"/>
        </w:rPr>
        <w:t>, 490-501.</w:t>
      </w:r>
    </w:p>
    <w:p w14:paraId="7060FCE7" w14:textId="77777777" w:rsidR="00DC6534" w:rsidRPr="004D4C57" w:rsidRDefault="00DC6534" w:rsidP="00DC6534">
      <w:pPr>
        <w:pStyle w:val="NoSpacing"/>
        <w:widowControl w:val="0"/>
        <w:spacing w:line="480" w:lineRule="auto"/>
        <w:ind w:left="709" w:hanging="709"/>
        <w:outlineLvl w:val="0"/>
        <w:rPr>
          <w:color w:val="000000" w:themeColor="text1"/>
          <w:lang w:val="en-CA"/>
        </w:rPr>
      </w:pPr>
      <w:r w:rsidRPr="004D4C57">
        <w:rPr>
          <w:color w:val="000000" w:themeColor="text1"/>
          <w:lang w:val="en-CA"/>
        </w:rPr>
        <w:t xml:space="preserve">Brim, O. G., </w:t>
      </w:r>
      <w:proofErr w:type="spellStart"/>
      <w:r w:rsidRPr="004D4C57">
        <w:rPr>
          <w:color w:val="000000" w:themeColor="text1"/>
          <w:lang w:val="en-CA"/>
        </w:rPr>
        <w:t>Ryff</w:t>
      </w:r>
      <w:proofErr w:type="spellEnd"/>
      <w:r w:rsidRPr="004D4C57">
        <w:rPr>
          <w:color w:val="000000" w:themeColor="text1"/>
          <w:lang w:val="en-CA"/>
        </w:rPr>
        <w:t xml:space="preserve">, C. D., &amp; Kessler, R. C. (2004). </w:t>
      </w:r>
      <w:r w:rsidRPr="004D4C57">
        <w:rPr>
          <w:i/>
          <w:color w:val="000000" w:themeColor="text1"/>
          <w:lang w:val="en-CA"/>
        </w:rPr>
        <w:t>How healthy are we? A national study of well-being at midlife.</w:t>
      </w:r>
      <w:r w:rsidRPr="004D4C57">
        <w:rPr>
          <w:color w:val="000000" w:themeColor="text1"/>
          <w:lang w:val="en-CA"/>
        </w:rPr>
        <w:t xml:space="preserve"> Chicago: University of Chicago Press.</w:t>
      </w:r>
    </w:p>
    <w:p w14:paraId="53D32CBE" w14:textId="77777777" w:rsidR="00DC6534" w:rsidRPr="004D4C57" w:rsidRDefault="00DC6534" w:rsidP="00DC6534">
      <w:pPr>
        <w:widowControl w:val="0"/>
        <w:spacing w:line="480" w:lineRule="auto"/>
        <w:ind w:left="709" w:hanging="709"/>
        <w:rPr>
          <w:rFonts w:eastAsia="Times New Roman"/>
          <w:color w:val="000000" w:themeColor="text1"/>
          <w:lang w:val="en-CA"/>
        </w:rPr>
      </w:pPr>
      <w:r w:rsidRPr="004D4C57">
        <w:rPr>
          <w:rFonts w:eastAsia="Times New Roman"/>
          <w:color w:val="000000" w:themeColor="text1"/>
          <w:lang w:val="en-CA"/>
        </w:rPr>
        <w:t>Clouston, S. A., &amp; Denier, N. (2017). Mental retirement and health selection: Analyses from the US Health and Retirement Study. </w:t>
      </w:r>
      <w:r w:rsidRPr="004D4C57">
        <w:rPr>
          <w:rFonts w:eastAsia="Times New Roman"/>
          <w:i/>
          <w:iCs/>
          <w:color w:val="000000" w:themeColor="text1"/>
          <w:lang w:val="en-CA"/>
        </w:rPr>
        <w:t>Social Science &amp; Medicine</w:t>
      </w:r>
      <w:r w:rsidRPr="004D4C57">
        <w:rPr>
          <w:rFonts w:eastAsia="Times New Roman"/>
          <w:color w:val="000000" w:themeColor="text1"/>
          <w:lang w:val="en-CA"/>
        </w:rPr>
        <w:t>, </w:t>
      </w:r>
      <w:r w:rsidRPr="004D4C57">
        <w:rPr>
          <w:rFonts w:eastAsia="Times New Roman"/>
          <w:i/>
          <w:iCs/>
          <w:color w:val="000000" w:themeColor="text1"/>
          <w:lang w:val="en-CA"/>
        </w:rPr>
        <w:t>178</w:t>
      </w:r>
      <w:r w:rsidRPr="004D4C57">
        <w:rPr>
          <w:rFonts w:eastAsia="Times New Roman"/>
          <w:color w:val="000000" w:themeColor="text1"/>
          <w:lang w:val="en-CA"/>
        </w:rPr>
        <w:t>, 78-86.</w:t>
      </w:r>
    </w:p>
    <w:p w14:paraId="6768548E" w14:textId="77777777" w:rsidR="00DC6534" w:rsidRPr="004D4C57" w:rsidRDefault="00DC6534" w:rsidP="00DC6534">
      <w:pPr>
        <w:widowControl w:val="0"/>
        <w:spacing w:line="480" w:lineRule="auto"/>
        <w:ind w:left="709" w:hanging="709"/>
        <w:rPr>
          <w:color w:val="000000" w:themeColor="text1"/>
        </w:rPr>
      </w:pPr>
      <w:r w:rsidRPr="004D4C57">
        <w:rPr>
          <w:rFonts w:eastAsia="Times New Roman"/>
          <w:color w:val="000000" w:themeColor="text1"/>
        </w:rPr>
        <w:t xml:space="preserve">Cohen, J., Cohen, P., West, S. G., &amp; Aiken, L. S. (2003). </w:t>
      </w:r>
      <w:r w:rsidRPr="004D4C57">
        <w:rPr>
          <w:rFonts w:eastAsia="Times New Roman"/>
          <w:i/>
          <w:color w:val="000000" w:themeColor="text1"/>
        </w:rPr>
        <w:t>Applied multiple</w:t>
      </w:r>
      <w:r w:rsidRPr="004D4C57">
        <w:rPr>
          <w:i/>
          <w:color w:val="000000" w:themeColor="text1"/>
        </w:rPr>
        <w:t xml:space="preserve"> </w:t>
      </w:r>
      <w:r w:rsidRPr="004D4C57">
        <w:rPr>
          <w:rFonts w:eastAsia="Times New Roman"/>
          <w:i/>
          <w:color w:val="000000" w:themeColor="text1"/>
        </w:rPr>
        <w:t>regression/correlation analysis for the behavioral sciences</w:t>
      </w:r>
      <w:r w:rsidRPr="004D4C57">
        <w:rPr>
          <w:rFonts w:eastAsia="Times New Roman"/>
          <w:color w:val="000000" w:themeColor="text1"/>
        </w:rPr>
        <w:t xml:space="preserve"> (3rd ed.).</w:t>
      </w:r>
      <w:r w:rsidRPr="004D4C57">
        <w:rPr>
          <w:color w:val="000000" w:themeColor="text1"/>
        </w:rPr>
        <w:t xml:space="preserve"> </w:t>
      </w:r>
      <w:r w:rsidRPr="004D4C57">
        <w:rPr>
          <w:rFonts w:eastAsia="Times New Roman"/>
          <w:color w:val="000000" w:themeColor="text1"/>
        </w:rPr>
        <w:t>London, UK: Erlbaum.</w:t>
      </w:r>
    </w:p>
    <w:p w14:paraId="36754C35" w14:textId="77777777" w:rsidR="009A4A70" w:rsidRPr="004D4C57" w:rsidRDefault="009A4A70" w:rsidP="009A4A70">
      <w:pPr>
        <w:spacing w:line="480" w:lineRule="auto"/>
        <w:ind w:left="709" w:hanging="709"/>
        <w:rPr>
          <w:color w:val="000000" w:themeColor="text1"/>
        </w:rPr>
      </w:pPr>
      <w:r w:rsidRPr="004D4C57">
        <w:rPr>
          <w:rFonts w:eastAsiaTheme="minorHAnsi"/>
          <w:color w:val="000000" w:themeColor="text1"/>
        </w:rPr>
        <w:t>Cole, D. A., &amp; Maxwell, S. E. (2003). Testing mediational models with</w:t>
      </w:r>
      <w:r w:rsidRPr="004D4C57">
        <w:rPr>
          <w:color w:val="000000" w:themeColor="text1"/>
        </w:rPr>
        <w:t xml:space="preserve"> </w:t>
      </w:r>
      <w:r w:rsidRPr="004D4C57">
        <w:rPr>
          <w:rFonts w:eastAsiaTheme="minorHAnsi"/>
          <w:color w:val="000000" w:themeColor="text1"/>
        </w:rPr>
        <w:t>longitudinal data: Questions and tips in the use of structural equation</w:t>
      </w:r>
      <w:r w:rsidRPr="004D4C57">
        <w:rPr>
          <w:color w:val="000000" w:themeColor="text1"/>
        </w:rPr>
        <w:t xml:space="preserve"> </w:t>
      </w:r>
      <w:r w:rsidRPr="004D4C57">
        <w:rPr>
          <w:rFonts w:eastAsiaTheme="minorHAnsi"/>
          <w:color w:val="000000" w:themeColor="text1"/>
        </w:rPr>
        <w:t xml:space="preserve">modeling. </w:t>
      </w:r>
      <w:r w:rsidRPr="004D4C57">
        <w:rPr>
          <w:rFonts w:eastAsiaTheme="minorHAnsi"/>
          <w:i/>
          <w:iCs/>
          <w:color w:val="000000" w:themeColor="text1"/>
        </w:rPr>
        <w:t>Journal of Abnormal Psychology, 112,</w:t>
      </w:r>
      <w:r w:rsidRPr="004D4C57">
        <w:rPr>
          <w:rFonts w:eastAsiaTheme="minorHAnsi"/>
          <w:color w:val="000000" w:themeColor="text1"/>
        </w:rPr>
        <w:t xml:space="preserve"> 558–577. </w:t>
      </w:r>
    </w:p>
    <w:p w14:paraId="0F387479" w14:textId="77777777" w:rsidR="009A4A70" w:rsidRPr="004D4C57" w:rsidRDefault="009A4A70" w:rsidP="009A4A70">
      <w:pPr>
        <w:spacing w:line="480" w:lineRule="auto"/>
        <w:ind w:left="709" w:hanging="709"/>
        <w:rPr>
          <w:color w:val="000000" w:themeColor="text1"/>
        </w:rPr>
      </w:pPr>
      <w:r w:rsidRPr="004D4C57">
        <w:rPr>
          <w:rFonts w:eastAsiaTheme="minorHAnsi"/>
          <w:color w:val="000000" w:themeColor="text1"/>
        </w:rPr>
        <w:t xml:space="preserve">Denton, F. T., &amp; Spencer, B. G. (2009). What </w:t>
      </w:r>
      <w:r w:rsidRPr="004D4C57">
        <w:rPr>
          <w:color w:val="000000" w:themeColor="text1"/>
        </w:rPr>
        <w:t>i</w:t>
      </w:r>
      <w:r w:rsidRPr="004D4C57">
        <w:rPr>
          <w:rFonts w:eastAsiaTheme="minorHAnsi"/>
          <w:color w:val="000000" w:themeColor="text1"/>
        </w:rPr>
        <w:t>s retirement? A review and assessment of alternative</w:t>
      </w:r>
      <w:r w:rsidRPr="004D4C57">
        <w:rPr>
          <w:color w:val="000000" w:themeColor="text1"/>
        </w:rPr>
        <w:t xml:space="preserve"> </w:t>
      </w:r>
      <w:r w:rsidRPr="004D4C57">
        <w:rPr>
          <w:rFonts w:eastAsiaTheme="minorHAnsi"/>
          <w:color w:val="000000" w:themeColor="text1"/>
        </w:rPr>
        <w:t xml:space="preserve">concepts and measures. </w:t>
      </w:r>
      <w:r w:rsidRPr="004D4C57">
        <w:rPr>
          <w:rFonts w:eastAsiaTheme="minorHAnsi"/>
          <w:i/>
          <w:iCs/>
          <w:color w:val="000000" w:themeColor="text1"/>
        </w:rPr>
        <w:t xml:space="preserve">Canadian Journal on Aging / La Revue </w:t>
      </w:r>
      <w:proofErr w:type="spellStart"/>
      <w:r w:rsidRPr="004D4C57">
        <w:rPr>
          <w:rFonts w:eastAsiaTheme="minorHAnsi"/>
          <w:i/>
          <w:iCs/>
          <w:color w:val="000000" w:themeColor="text1"/>
        </w:rPr>
        <w:t>canadienne</w:t>
      </w:r>
      <w:proofErr w:type="spellEnd"/>
      <w:r w:rsidRPr="004D4C57">
        <w:rPr>
          <w:rFonts w:eastAsiaTheme="minorHAnsi"/>
          <w:i/>
          <w:iCs/>
          <w:color w:val="000000" w:themeColor="text1"/>
        </w:rPr>
        <w:t xml:space="preserve"> du </w:t>
      </w:r>
      <w:proofErr w:type="spellStart"/>
      <w:r w:rsidRPr="004D4C57">
        <w:rPr>
          <w:rFonts w:eastAsiaTheme="minorHAnsi"/>
          <w:i/>
          <w:iCs/>
          <w:color w:val="000000" w:themeColor="text1"/>
        </w:rPr>
        <w:t>vieillissement</w:t>
      </w:r>
      <w:proofErr w:type="spellEnd"/>
      <w:r w:rsidRPr="004D4C57">
        <w:rPr>
          <w:rFonts w:eastAsiaTheme="minorHAnsi"/>
          <w:i/>
          <w:iCs/>
          <w:color w:val="000000" w:themeColor="text1"/>
        </w:rPr>
        <w:t>,</w:t>
      </w:r>
      <w:r w:rsidRPr="004D4C57">
        <w:rPr>
          <w:i/>
          <w:iCs/>
          <w:color w:val="000000" w:themeColor="text1"/>
        </w:rPr>
        <w:t xml:space="preserve"> </w:t>
      </w:r>
      <w:r w:rsidRPr="004D4C57">
        <w:rPr>
          <w:rFonts w:eastAsiaTheme="minorHAnsi"/>
          <w:i/>
          <w:iCs/>
          <w:color w:val="000000" w:themeColor="text1"/>
        </w:rPr>
        <w:t>28,</w:t>
      </w:r>
      <w:r w:rsidRPr="004D4C57">
        <w:rPr>
          <w:rFonts w:eastAsiaTheme="minorHAnsi"/>
          <w:color w:val="000000" w:themeColor="text1"/>
        </w:rPr>
        <w:t xml:space="preserve"> 63-76. doi:10.1017/S0714980809090047</w:t>
      </w:r>
    </w:p>
    <w:p w14:paraId="744AF520" w14:textId="77777777" w:rsidR="00014912" w:rsidRPr="004D4C57" w:rsidRDefault="00014912" w:rsidP="00014912">
      <w:pPr>
        <w:spacing w:line="480" w:lineRule="auto"/>
        <w:ind w:left="709" w:hanging="709"/>
        <w:rPr>
          <w:color w:val="000000" w:themeColor="text1"/>
        </w:rPr>
      </w:pPr>
      <w:proofErr w:type="spellStart"/>
      <w:r w:rsidRPr="004D4C57">
        <w:rPr>
          <w:color w:val="000000" w:themeColor="text1"/>
        </w:rPr>
        <w:lastRenderedPageBreak/>
        <w:t>Eichener</w:t>
      </w:r>
      <w:proofErr w:type="spellEnd"/>
      <w:r w:rsidRPr="004D4C57">
        <w:rPr>
          <w:color w:val="000000" w:themeColor="text1"/>
        </w:rPr>
        <w:t>, A., &amp; Robbins, G. (2015). </w:t>
      </w:r>
      <w:r w:rsidRPr="004D4C57">
        <w:rPr>
          <w:i/>
          <w:iCs/>
          <w:color w:val="000000" w:themeColor="text1"/>
        </w:rPr>
        <w:t>National snapshot: Poverty among women &amp; families, 2014</w:t>
      </w:r>
      <w:r w:rsidRPr="004D4C57">
        <w:rPr>
          <w:color w:val="000000" w:themeColor="text1"/>
        </w:rPr>
        <w:t xml:space="preserve">. Retrieved from </w:t>
      </w:r>
      <w:hyperlink r:id="rId9" w:history="1">
        <w:r w:rsidRPr="004D4C57">
          <w:rPr>
            <w:rStyle w:val="Hyperlink"/>
            <w:color w:val="000000" w:themeColor="text1"/>
          </w:rPr>
          <w:t>https://nwlc.org/resources/national-snapshot-poverty-among-women-families-2014/</w:t>
        </w:r>
      </w:hyperlink>
    </w:p>
    <w:p w14:paraId="3A56FE61" w14:textId="77777777" w:rsidR="00014912" w:rsidRPr="004D4C57" w:rsidRDefault="00014912" w:rsidP="00014912">
      <w:pPr>
        <w:widowControl w:val="0"/>
        <w:spacing w:line="480" w:lineRule="auto"/>
        <w:ind w:left="709" w:hanging="709"/>
        <w:rPr>
          <w:color w:val="000000" w:themeColor="text1"/>
        </w:rPr>
      </w:pPr>
      <w:proofErr w:type="spellStart"/>
      <w:r w:rsidRPr="004D4C57">
        <w:rPr>
          <w:rFonts w:eastAsiaTheme="minorHAnsi"/>
          <w:color w:val="000000" w:themeColor="text1"/>
        </w:rPr>
        <w:t>Ekerdt</w:t>
      </w:r>
      <w:proofErr w:type="spellEnd"/>
      <w:r w:rsidRPr="004D4C57">
        <w:rPr>
          <w:rFonts w:eastAsiaTheme="minorHAnsi"/>
          <w:color w:val="000000" w:themeColor="text1"/>
        </w:rPr>
        <w:t xml:space="preserve">, D. J. (2010). Frontiers of research on work and retirement. </w:t>
      </w:r>
      <w:r w:rsidRPr="004D4C57">
        <w:rPr>
          <w:rFonts w:eastAsiaTheme="minorHAnsi"/>
          <w:i/>
          <w:iCs/>
          <w:color w:val="000000" w:themeColor="text1"/>
        </w:rPr>
        <w:t>The Journals of Gerontology: Series</w:t>
      </w:r>
      <w:r w:rsidRPr="004D4C57">
        <w:rPr>
          <w:i/>
          <w:iCs/>
          <w:color w:val="000000" w:themeColor="text1"/>
        </w:rPr>
        <w:t xml:space="preserve"> </w:t>
      </w:r>
      <w:r w:rsidRPr="004D4C57">
        <w:rPr>
          <w:rFonts w:eastAsiaTheme="minorHAnsi"/>
          <w:i/>
          <w:iCs/>
          <w:color w:val="000000" w:themeColor="text1"/>
        </w:rPr>
        <w:t>B, 65B,</w:t>
      </w:r>
      <w:r w:rsidRPr="004D4C57">
        <w:rPr>
          <w:rFonts w:eastAsiaTheme="minorHAnsi"/>
          <w:color w:val="000000" w:themeColor="text1"/>
        </w:rPr>
        <w:t xml:space="preserve"> 69-80. doi:10.1093/</w:t>
      </w:r>
      <w:proofErr w:type="spellStart"/>
      <w:r w:rsidRPr="004D4C57">
        <w:rPr>
          <w:rFonts w:eastAsiaTheme="minorHAnsi"/>
          <w:color w:val="000000" w:themeColor="text1"/>
        </w:rPr>
        <w:t>geronb</w:t>
      </w:r>
      <w:proofErr w:type="spellEnd"/>
      <w:r w:rsidRPr="004D4C57">
        <w:rPr>
          <w:rFonts w:eastAsiaTheme="minorHAnsi"/>
          <w:color w:val="000000" w:themeColor="text1"/>
        </w:rPr>
        <w:t>/gbp109</w:t>
      </w:r>
    </w:p>
    <w:p w14:paraId="2880BC21" w14:textId="76B8CE59" w:rsidR="00DC6534" w:rsidRPr="004D4C57" w:rsidRDefault="00DC6534" w:rsidP="00DC6534">
      <w:pPr>
        <w:widowControl w:val="0"/>
        <w:spacing w:line="480" w:lineRule="auto"/>
        <w:ind w:left="709" w:hanging="709"/>
        <w:rPr>
          <w:color w:val="000000" w:themeColor="text1"/>
          <w:lang w:val="en-CA"/>
        </w:rPr>
      </w:pPr>
      <w:r w:rsidRPr="004D4C57">
        <w:rPr>
          <w:color w:val="000000" w:themeColor="text1"/>
          <w:lang w:val="en-CA"/>
        </w:rPr>
        <w:t xml:space="preserve">Fisher, G. G., </w:t>
      </w:r>
      <w:proofErr w:type="spellStart"/>
      <w:r w:rsidRPr="004D4C57">
        <w:rPr>
          <w:color w:val="000000" w:themeColor="text1"/>
          <w:lang w:val="en-CA"/>
        </w:rPr>
        <w:t>Stachowski</w:t>
      </w:r>
      <w:proofErr w:type="spellEnd"/>
      <w:r w:rsidRPr="004D4C57">
        <w:rPr>
          <w:color w:val="000000" w:themeColor="text1"/>
          <w:lang w:val="en-CA"/>
        </w:rPr>
        <w:t xml:space="preserve">, A., </w:t>
      </w:r>
      <w:proofErr w:type="spellStart"/>
      <w:r w:rsidRPr="004D4C57">
        <w:rPr>
          <w:color w:val="000000" w:themeColor="text1"/>
          <w:lang w:val="en-CA"/>
        </w:rPr>
        <w:t>Infurna</w:t>
      </w:r>
      <w:proofErr w:type="spellEnd"/>
      <w:r w:rsidRPr="004D4C57">
        <w:rPr>
          <w:color w:val="000000" w:themeColor="text1"/>
          <w:lang w:val="en-CA"/>
        </w:rPr>
        <w:t xml:space="preserve">, F. J., </w:t>
      </w:r>
      <w:proofErr w:type="spellStart"/>
      <w:r w:rsidRPr="004D4C57">
        <w:rPr>
          <w:color w:val="000000" w:themeColor="text1"/>
          <w:lang w:val="en-CA"/>
        </w:rPr>
        <w:t>Faul</w:t>
      </w:r>
      <w:proofErr w:type="spellEnd"/>
      <w:r w:rsidRPr="004D4C57">
        <w:rPr>
          <w:color w:val="000000" w:themeColor="text1"/>
          <w:lang w:val="en-CA"/>
        </w:rPr>
        <w:t xml:space="preserve">, J. D., Grosch, J., &amp; </w:t>
      </w:r>
      <w:proofErr w:type="spellStart"/>
      <w:r w:rsidRPr="004D4C57">
        <w:rPr>
          <w:color w:val="000000" w:themeColor="text1"/>
          <w:lang w:val="en-CA"/>
        </w:rPr>
        <w:t>Tetrick</w:t>
      </w:r>
      <w:proofErr w:type="spellEnd"/>
      <w:r w:rsidRPr="004D4C57">
        <w:rPr>
          <w:color w:val="000000" w:themeColor="text1"/>
          <w:lang w:val="en-CA"/>
        </w:rPr>
        <w:t>, L. E. (2014). Mental work demands, retirement, and longitudinal trajectories of cognitive functioning. </w:t>
      </w:r>
      <w:r w:rsidRPr="004D4C57">
        <w:rPr>
          <w:i/>
          <w:iCs/>
          <w:color w:val="000000" w:themeColor="text1"/>
          <w:lang w:val="en-CA"/>
        </w:rPr>
        <w:t>Journal of Occupational Health Psychology</w:t>
      </w:r>
      <w:r w:rsidRPr="004D4C57">
        <w:rPr>
          <w:color w:val="000000" w:themeColor="text1"/>
          <w:lang w:val="en-CA"/>
        </w:rPr>
        <w:t>, </w:t>
      </w:r>
      <w:r w:rsidRPr="004D4C57">
        <w:rPr>
          <w:i/>
          <w:iCs/>
          <w:color w:val="000000" w:themeColor="text1"/>
          <w:lang w:val="en-CA"/>
        </w:rPr>
        <w:t>19</w:t>
      </w:r>
      <w:r w:rsidRPr="004D4C57">
        <w:rPr>
          <w:color w:val="000000" w:themeColor="text1"/>
          <w:lang w:val="en-CA"/>
        </w:rPr>
        <w:t>, 231-242.</w:t>
      </w:r>
    </w:p>
    <w:p w14:paraId="6DBE1115" w14:textId="77777777" w:rsidR="00DC6534" w:rsidRPr="004D4C57" w:rsidRDefault="00DC6534" w:rsidP="00DC6534">
      <w:pPr>
        <w:widowControl w:val="0"/>
        <w:spacing w:line="480" w:lineRule="auto"/>
        <w:ind w:left="709" w:hanging="709"/>
        <w:rPr>
          <w:color w:val="000000" w:themeColor="text1"/>
        </w:rPr>
      </w:pPr>
      <w:r w:rsidRPr="004D4C57">
        <w:rPr>
          <w:color w:val="000000" w:themeColor="text1"/>
        </w:rPr>
        <w:t xml:space="preserve">Gitlin, L. N., Hauck, W. W., Winter, L., Dennis, M. P., &amp; Schulz, R. (2006). Effect of an in-home occupational and physical therapy intervention on reducing mortality in functionally vulnerable older people: Preliminary findings. </w:t>
      </w:r>
      <w:r w:rsidRPr="004D4C57">
        <w:rPr>
          <w:i/>
          <w:iCs/>
          <w:color w:val="000000" w:themeColor="text1"/>
        </w:rPr>
        <w:t xml:space="preserve">Journal of the American Geriatrics Society, 54, </w:t>
      </w:r>
      <w:r w:rsidRPr="004D4C57">
        <w:rPr>
          <w:color w:val="000000" w:themeColor="text1"/>
        </w:rPr>
        <w:t>950-955. doi:10.1111/j.1532-5415.2006.00733.x</w:t>
      </w:r>
    </w:p>
    <w:p w14:paraId="2FA23D54" w14:textId="77777777" w:rsidR="00DC6534" w:rsidRPr="004D4C57" w:rsidRDefault="00DC6534" w:rsidP="00DC6534">
      <w:pPr>
        <w:widowControl w:val="0"/>
        <w:spacing w:line="480" w:lineRule="auto"/>
        <w:ind w:left="709" w:hanging="709"/>
        <w:rPr>
          <w:color w:val="000000" w:themeColor="text1"/>
        </w:rPr>
      </w:pPr>
      <w:r w:rsidRPr="004D4C57">
        <w:rPr>
          <w:rFonts w:eastAsia="Times New Roman"/>
          <w:color w:val="000000" w:themeColor="text1"/>
        </w:rPr>
        <w:t xml:space="preserve">Gitlin, L. N., Winter, L., Dennis, M. P., Corcoran, M., </w:t>
      </w:r>
      <w:proofErr w:type="spellStart"/>
      <w:r w:rsidRPr="004D4C57">
        <w:rPr>
          <w:rFonts w:eastAsia="Times New Roman"/>
          <w:color w:val="000000" w:themeColor="text1"/>
        </w:rPr>
        <w:t>Schinfeld</w:t>
      </w:r>
      <w:proofErr w:type="spellEnd"/>
      <w:r w:rsidRPr="004D4C57">
        <w:rPr>
          <w:rFonts w:eastAsia="Times New Roman"/>
          <w:color w:val="000000" w:themeColor="text1"/>
        </w:rPr>
        <w:t>, S.,</w:t>
      </w:r>
      <w:r w:rsidRPr="004D4C57">
        <w:rPr>
          <w:color w:val="000000" w:themeColor="text1"/>
        </w:rPr>
        <w:t xml:space="preserve"> </w:t>
      </w:r>
      <w:r w:rsidRPr="004D4C57">
        <w:rPr>
          <w:rFonts w:eastAsia="Times New Roman"/>
          <w:color w:val="000000" w:themeColor="text1"/>
        </w:rPr>
        <w:t>&amp; Hauck, W. W. (2006). A randomized trial of a multicomponent</w:t>
      </w:r>
      <w:r w:rsidRPr="004D4C57">
        <w:rPr>
          <w:color w:val="000000" w:themeColor="text1"/>
        </w:rPr>
        <w:t xml:space="preserve"> </w:t>
      </w:r>
      <w:r w:rsidRPr="004D4C57">
        <w:rPr>
          <w:rFonts w:eastAsia="Times New Roman"/>
          <w:color w:val="000000" w:themeColor="text1"/>
        </w:rPr>
        <w:t>home intervention to reduce functional difficulties in older</w:t>
      </w:r>
      <w:r w:rsidRPr="004D4C57">
        <w:rPr>
          <w:color w:val="000000" w:themeColor="text1"/>
        </w:rPr>
        <w:t xml:space="preserve"> </w:t>
      </w:r>
      <w:r w:rsidRPr="004D4C57">
        <w:rPr>
          <w:rFonts w:eastAsia="Times New Roman"/>
          <w:color w:val="000000" w:themeColor="text1"/>
        </w:rPr>
        <w:t xml:space="preserve">adults. </w:t>
      </w:r>
      <w:r w:rsidRPr="004D4C57">
        <w:rPr>
          <w:rFonts w:eastAsia="Times New Roman"/>
          <w:i/>
          <w:color w:val="000000" w:themeColor="text1"/>
        </w:rPr>
        <w:t>Journal of the American Geriatrics Society, 54,</w:t>
      </w:r>
      <w:r w:rsidRPr="004D4C57">
        <w:rPr>
          <w:rFonts w:eastAsia="Times New Roman"/>
          <w:color w:val="000000" w:themeColor="text1"/>
        </w:rPr>
        <w:t xml:space="preserve"> 809–816.</w:t>
      </w:r>
      <w:r w:rsidRPr="004D4C57">
        <w:rPr>
          <w:color w:val="000000" w:themeColor="text1"/>
        </w:rPr>
        <w:t xml:space="preserve"> </w:t>
      </w:r>
      <w:r w:rsidRPr="004D4C57">
        <w:rPr>
          <w:rFonts w:eastAsia="Times New Roman"/>
          <w:color w:val="000000" w:themeColor="text1"/>
        </w:rPr>
        <w:t>doi:10.1111/j.1532-5415.2006.00703.x</w:t>
      </w:r>
    </w:p>
    <w:p w14:paraId="7E178C2A" w14:textId="77777777" w:rsidR="00DC6534" w:rsidRPr="004D4C57" w:rsidRDefault="00DC6534" w:rsidP="00DC6534">
      <w:pPr>
        <w:widowControl w:val="0"/>
        <w:spacing w:line="480" w:lineRule="auto"/>
        <w:ind w:left="709" w:hanging="709"/>
        <w:rPr>
          <w:bCs/>
          <w:color w:val="000000" w:themeColor="text1"/>
        </w:rPr>
      </w:pPr>
      <w:r w:rsidRPr="004D4C57">
        <w:rPr>
          <w:bCs/>
          <w:color w:val="000000" w:themeColor="text1"/>
        </w:rPr>
        <w:t xml:space="preserve">González, H. M., Bowen, M. E., &amp; Fisher, G. G. (2008). Memory decline and depressive symptoms in a nationally representative sample of older adults: The Health and Retirement Study (1998 –2004). </w:t>
      </w:r>
      <w:r w:rsidRPr="004D4C57">
        <w:rPr>
          <w:bCs/>
          <w:i/>
          <w:iCs/>
          <w:color w:val="000000" w:themeColor="text1"/>
        </w:rPr>
        <w:t>Dementia and Geriatric Cognitive Disorders, 25,</w:t>
      </w:r>
      <w:r w:rsidRPr="004D4C57">
        <w:rPr>
          <w:bCs/>
          <w:color w:val="000000" w:themeColor="text1"/>
        </w:rPr>
        <w:t xml:space="preserve"> 266-271. doi:10.1159/000115976</w:t>
      </w:r>
    </w:p>
    <w:p w14:paraId="4469C965" w14:textId="77777777" w:rsidR="00014912" w:rsidRPr="004D4C57" w:rsidRDefault="00014912" w:rsidP="00014912">
      <w:pPr>
        <w:widowControl w:val="0"/>
        <w:spacing w:line="480" w:lineRule="auto"/>
        <w:ind w:left="709" w:hanging="709"/>
        <w:rPr>
          <w:color w:val="000000" w:themeColor="text1"/>
        </w:rPr>
      </w:pPr>
      <w:r w:rsidRPr="004D4C57">
        <w:rPr>
          <w:color w:val="000000" w:themeColor="text1"/>
        </w:rPr>
        <w:t>Haase, C. M., Heckhausen, J., &amp; Wrosch, C. (2013). Developmental regulation across the life span: Toward a new synthesis. </w:t>
      </w:r>
      <w:r w:rsidRPr="004D4C57">
        <w:rPr>
          <w:i/>
          <w:iCs/>
          <w:color w:val="000000" w:themeColor="text1"/>
        </w:rPr>
        <w:t>Developmental psychology</w:t>
      </w:r>
      <w:r w:rsidRPr="004D4C57">
        <w:rPr>
          <w:color w:val="000000" w:themeColor="text1"/>
        </w:rPr>
        <w:t>, </w:t>
      </w:r>
      <w:r w:rsidRPr="004D4C57">
        <w:rPr>
          <w:i/>
          <w:iCs/>
          <w:color w:val="000000" w:themeColor="text1"/>
        </w:rPr>
        <w:t>49</w:t>
      </w:r>
      <w:r w:rsidRPr="004D4C57">
        <w:rPr>
          <w:color w:val="000000" w:themeColor="text1"/>
        </w:rPr>
        <w:t>, 964-972.</w:t>
      </w:r>
    </w:p>
    <w:p w14:paraId="6869207D" w14:textId="77777777" w:rsidR="00DC6534" w:rsidRPr="004D4C57" w:rsidRDefault="00DC6534" w:rsidP="00DC6534">
      <w:pPr>
        <w:widowControl w:val="0"/>
        <w:spacing w:line="480" w:lineRule="auto"/>
        <w:ind w:left="709" w:hanging="709"/>
        <w:rPr>
          <w:color w:val="000000" w:themeColor="text1"/>
        </w:rPr>
      </w:pPr>
      <w:r w:rsidRPr="004D4C57">
        <w:rPr>
          <w:bCs/>
          <w:color w:val="000000" w:themeColor="text1"/>
        </w:rPr>
        <w:t xml:space="preserve">Hamm, J. M., Heckhausen, J., Shane, J., </w:t>
      </w:r>
      <w:proofErr w:type="spellStart"/>
      <w:r w:rsidRPr="004D4C57">
        <w:rPr>
          <w:bCs/>
          <w:color w:val="000000" w:themeColor="text1"/>
        </w:rPr>
        <w:t>Infurna</w:t>
      </w:r>
      <w:proofErr w:type="spellEnd"/>
      <w:r w:rsidRPr="004D4C57">
        <w:rPr>
          <w:bCs/>
          <w:color w:val="000000" w:themeColor="text1"/>
        </w:rPr>
        <w:t xml:space="preserve">, F. J., &amp; Lachman, M. E. (2019). </w:t>
      </w:r>
      <w:r w:rsidRPr="004D4C57">
        <w:rPr>
          <w:bCs/>
          <w:color w:val="000000" w:themeColor="text1"/>
          <w:lang w:val="en-CA"/>
        </w:rPr>
        <w:t>Engagement</w:t>
      </w:r>
      <w:r w:rsidRPr="004D4C57">
        <w:rPr>
          <w:color w:val="000000" w:themeColor="text1"/>
          <w:lang w:val="en-CA"/>
        </w:rPr>
        <w:t xml:space="preserve"> </w:t>
      </w:r>
      <w:r w:rsidRPr="004D4C57">
        <w:rPr>
          <w:color w:val="000000" w:themeColor="text1"/>
          <w:lang w:val="en-CA"/>
        </w:rPr>
        <w:lastRenderedPageBreak/>
        <w:t xml:space="preserve">with six major life domains during the transition to retirement: Stability and change for better or worse. </w:t>
      </w:r>
      <w:r w:rsidRPr="004D4C57">
        <w:rPr>
          <w:i/>
          <w:color w:val="000000" w:themeColor="text1"/>
          <w:lang w:val="en-CA"/>
        </w:rPr>
        <w:t xml:space="preserve">Psychology and Aging, 34, </w:t>
      </w:r>
      <w:r w:rsidRPr="004D4C57">
        <w:rPr>
          <w:iCs/>
          <w:color w:val="000000" w:themeColor="text1"/>
          <w:lang w:val="en-CA"/>
        </w:rPr>
        <w:t>441-456</w:t>
      </w:r>
      <w:r w:rsidRPr="004D4C57">
        <w:rPr>
          <w:i/>
          <w:color w:val="000000" w:themeColor="text1"/>
          <w:lang w:val="en-CA"/>
        </w:rPr>
        <w:t xml:space="preserve">. </w:t>
      </w:r>
      <w:r w:rsidRPr="004D4C57">
        <w:rPr>
          <w:color w:val="000000" w:themeColor="text1"/>
          <w:lang w:val="en-CA"/>
        </w:rPr>
        <w:t>doi:10.1037/pag0000343</w:t>
      </w:r>
    </w:p>
    <w:p w14:paraId="1542447E" w14:textId="77777777" w:rsidR="00B40693" w:rsidRPr="004D4C57" w:rsidRDefault="00B40693" w:rsidP="00B40693">
      <w:pPr>
        <w:spacing w:line="480" w:lineRule="auto"/>
        <w:ind w:left="709" w:hanging="709"/>
        <w:rPr>
          <w:rFonts w:cs="Arial"/>
          <w:color w:val="000000" w:themeColor="text1"/>
        </w:rPr>
      </w:pPr>
      <w:proofErr w:type="spellStart"/>
      <w:r w:rsidRPr="004D4C57">
        <w:rPr>
          <w:rFonts w:cs="Arial"/>
          <w:color w:val="000000" w:themeColor="text1"/>
        </w:rPr>
        <w:t>Hassing</w:t>
      </w:r>
      <w:proofErr w:type="spellEnd"/>
      <w:r w:rsidRPr="004D4C57">
        <w:rPr>
          <w:rFonts w:cs="Arial"/>
          <w:color w:val="000000" w:themeColor="text1"/>
        </w:rPr>
        <w:t xml:space="preserve">, L. B. (2020). Gender differences in the association between leisure activity in adulthood and cognitive function in old age: A prospective longitudinal population-based study. </w:t>
      </w:r>
      <w:r w:rsidRPr="004D4C57">
        <w:rPr>
          <w:rFonts w:cs="Arial"/>
          <w:i/>
          <w:color w:val="000000" w:themeColor="text1"/>
        </w:rPr>
        <w:t>Journals of Gerontology: Psychological Sciences, 75</w:t>
      </w:r>
      <w:r w:rsidRPr="004D4C57">
        <w:rPr>
          <w:rFonts w:cs="Arial"/>
          <w:color w:val="000000" w:themeColor="text1"/>
        </w:rPr>
        <w:t>, 11-20. Doi:10.1093/</w:t>
      </w:r>
      <w:proofErr w:type="spellStart"/>
      <w:r w:rsidRPr="004D4C57">
        <w:rPr>
          <w:rFonts w:cs="Arial"/>
          <w:color w:val="000000" w:themeColor="text1"/>
        </w:rPr>
        <w:t>geronb</w:t>
      </w:r>
      <w:proofErr w:type="spellEnd"/>
      <w:r w:rsidRPr="004D4C57">
        <w:rPr>
          <w:rFonts w:cs="Arial"/>
          <w:color w:val="000000" w:themeColor="text1"/>
        </w:rPr>
        <w:t>/gbx170</w:t>
      </w:r>
    </w:p>
    <w:p w14:paraId="3F24E1D4" w14:textId="3F3D0488" w:rsidR="00DC6534" w:rsidRPr="004D4C57" w:rsidRDefault="00DC6534" w:rsidP="00DC6534">
      <w:pPr>
        <w:spacing w:line="480" w:lineRule="auto"/>
        <w:ind w:left="709" w:hanging="709"/>
        <w:rPr>
          <w:color w:val="000000" w:themeColor="text1"/>
          <w:lang w:val="en-CA"/>
        </w:rPr>
      </w:pPr>
      <w:r w:rsidRPr="004D4C57">
        <w:rPr>
          <w:rFonts w:cs="Arial"/>
          <w:color w:val="000000" w:themeColor="text1"/>
          <w:lang w:val="en-CA"/>
        </w:rPr>
        <w:t xml:space="preserve">Hayes, A. F. (2013). </w:t>
      </w:r>
      <w:r w:rsidRPr="004D4C57">
        <w:rPr>
          <w:rFonts w:cs="Arial"/>
          <w:i/>
          <w:color w:val="000000" w:themeColor="text1"/>
          <w:lang w:val="en-CA"/>
        </w:rPr>
        <w:t>Introduction to mediation, moderation, and conditional process analysis: A regression-based approach.</w:t>
      </w:r>
      <w:r w:rsidRPr="004D4C57">
        <w:rPr>
          <w:rFonts w:cs="Arial"/>
          <w:color w:val="000000" w:themeColor="text1"/>
          <w:lang w:val="en-CA"/>
        </w:rPr>
        <w:t xml:space="preserve"> New York: The Guilford Press.</w:t>
      </w:r>
    </w:p>
    <w:p w14:paraId="04F86320" w14:textId="77777777" w:rsidR="00DC6534" w:rsidRPr="004D4C57" w:rsidRDefault="00DC6534" w:rsidP="00DC6534">
      <w:pPr>
        <w:widowControl w:val="0"/>
        <w:spacing w:line="480" w:lineRule="auto"/>
        <w:ind w:left="709" w:hanging="709"/>
        <w:rPr>
          <w:color w:val="000000" w:themeColor="text1"/>
        </w:rPr>
      </w:pPr>
      <w:r w:rsidRPr="004D4C57">
        <w:rPr>
          <w:color w:val="000000" w:themeColor="text1"/>
        </w:rPr>
        <w:t xml:space="preserve">Heckhausen, J. (1999). </w:t>
      </w:r>
      <w:r w:rsidRPr="004D4C57">
        <w:rPr>
          <w:i/>
          <w:color w:val="000000" w:themeColor="text1"/>
        </w:rPr>
        <w:t xml:space="preserve">Developmental regulation in adulthood: Age-normative and </w:t>
      </w:r>
      <w:proofErr w:type="spellStart"/>
      <w:r w:rsidRPr="004D4C57">
        <w:rPr>
          <w:i/>
          <w:color w:val="000000" w:themeColor="text1"/>
        </w:rPr>
        <w:t>sociostructural</w:t>
      </w:r>
      <w:proofErr w:type="spellEnd"/>
      <w:r w:rsidRPr="004D4C57">
        <w:rPr>
          <w:i/>
          <w:color w:val="000000" w:themeColor="text1"/>
        </w:rPr>
        <w:t xml:space="preserve"> constraints as adaptive challenges</w:t>
      </w:r>
      <w:r w:rsidRPr="004D4C57">
        <w:rPr>
          <w:color w:val="000000" w:themeColor="text1"/>
        </w:rPr>
        <w:t>. New York, NY: Cambridge University Press.</w:t>
      </w:r>
    </w:p>
    <w:p w14:paraId="47FF85B0" w14:textId="092EBC0E" w:rsidR="00DC6534" w:rsidRPr="004D4C57" w:rsidRDefault="00DC6534" w:rsidP="00DC6534">
      <w:pPr>
        <w:widowControl w:val="0"/>
        <w:spacing w:line="480" w:lineRule="auto"/>
        <w:ind w:left="709" w:hanging="709"/>
        <w:rPr>
          <w:i/>
          <w:color w:val="000000" w:themeColor="text1"/>
        </w:rPr>
      </w:pPr>
      <w:r w:rsidRPr="004D4C57">
        <w:rPr>
          <w:color w:val="000000" w:themeColor="text1"/>
        </w:rPr>
        <w:t>Heckhausen, J. &amp; Buchmann, M. (201</w:t>
      </w:r>
      <w:r w:rsidR="00014912" w:rsidRPr="004D4C57">
        <w:rPr>
          <w:color w:val="000000" w:themeColor="text1"/>
        </w:rPr>
        <w:t>9</w:t>
      </w:r>
      <w:r w:rsidRPr="004D4C57">
        <w:rPr>
          <w:color w:val="000000" w:themeColor="text1"/>
        </w:rPr>
        <w:t xml:space="preserve">). A multi-disciplinary model of life-course canalization and agency. </w:t>
      </w:r>
      <w:r w:rsidR="00014912" w:rsidRPr="004D4C57">
        <w:rPr>
          <w:i/>
          <w:iCs/>
          <w:color w:val="000000" w:themeColor="text1"/>
        </w:rPr>
        <w:t>Advances in Life Course Research</w:t>
      </w:r>
      <w:r w:rsidR="00014912" w:rsidRPr="004D4C57">
        <w:rPr>
          <w:color w:val="000000" w:themeColor="text1"/>
        </w:rPr>
        <w:t>, </w:t>
      </w:r>
      <w:r w:rsidR="00014912" w:rsidRPr="004D4C57">
        <w:rPr>
          <w:i/>
          <w:iCs/>
          <w:color w:val="000000" w:themeColor="text1"/>
        </w:rPr>
        <w:t xml:space="preserve">41, </w:t>
      </w:r>
      <w:r w:rsidR="00014912" w:rsidRPr="004D4C57">
        <w:rPr>
          <w:color w:val="000000" w:themeColor="text1"/>
        </w:rPr>
        <w:t>1-9.</w:t>
      </w:r>
    </w:p>
    <w:p w14:paraId="30B87A38" w14:textId="77777777" w:rsidR="00DC6534" w:rsidRPr="004D4C57" w:rsidRDefault="00DC6534" w:rsidP="00DC6534">
      <w:pPr>
        <w:widowControl w:val="0"/>
        <w:spacing w:line="480" w:lineRule="auto"/>
        <w:ind w:left="709" w:hanging="709"/>
        <w:rPr>
          <w:color w:val="000000" w:themeColor="text1"/>
        </w:rPr>
      </w:pPr>
      <w:r w:rsidRPr="004D4C57">
        <w:rPr>
          <w:color w:val="000000" w:themeColor="text1"/>
        </w:rPr>
        <w:t xml:space="preserve">Heckhausen, J., &amp; Schulz, R. (1995). A life-span theory of control. </w:t>
      </w:r>
      <w:r w:rsidRPr="004D4C57">
        <w:rPr>
          <w:i/>
          <w:iCs/>
          <w:color w:val="000000" w:themeColor="text1"/>
        </w:rPr>
        <w:t>Psychological Review, 102,</w:t>
      </w:r>
      <w:r w:rsidRPr="004D4C57">
        <w:rPr>
          <w:color w:val="000000" w:themeColor="text1"/>
        </w:rPr>
        <w:t xml:space="preserve"> 284-304. doi:10.1037/0033-295X.102.2.284</w:t>
      </w:r>
    </w:p>
    <w:p w14:paraId="765C4368" w14:textId="77777777" w:rsidR="00A748BD" w:rsidRPr="004D4C57" w:rsidRDefault="00A748BD" w:rsidP="00A748BD">
      <w:pPr>
        <w:widowControl w:val="0"/>
        <w:spacing w:line="480" w:lineRule="auto"/>
        <w:ind w:left="709" w:hanging="709"/>
        <w:rPr>
          <w:rFonts w:eastAsiaTheme="minorHAnsi"/>
          <w:color w:val="000000" w:themeColor="text1"/>
        </w:rPr>
      </w:pPr>
      <w:r w:rsidRPr="004D4C57">
        <w:rPr>
          <w:rFonts w:eastAsiaTheme="minorHAnsi"/>
          <w:color w:val="000000" w:themeColor="text1"/>
        </w:rPr>
        <w:t xml:space="preserve">Heckhausen, J., Shane, J., &amp; </w:t>
      </w:r>
      <w:proofErr w:type="spellStart"/>
      <w:r w:rsidRPr="004D4C57">
        <w:rPr>
          <w:rFonts w:eastAsiaTheme="minorHAnsi"/>
          <w:color w:val="000000" w:themeColor="text1"/>
        </w:rPr>
        <w:t>Kanfer</w:t>
      </w:r>
      <w:proofErr w:type="spellEnd"/>
      <w:r w:rsidRPr="004D4C57">
        <w:rPr>
          <w:rFonts w:eastAsiaTheme="minorHAnsi"/>
          <w:color w:val="000000" w:themeColor="text1"/>
        </w:rPr>
        <w:t xml:space="preserve">, R. (2017). Competence and motivation at work throughout adulthood: Making the most of changing capacities and opportunities. In A. Elliot, C. S. Dweck, &amp; D. Yeager (Eds.) </w:t>
      </w:r>
      <w:r w:rsidRPr="004D4C57">
        <w:rPr>
          <w:rFonts w:eastAsiaTheme="minorHAnsi"/>
          <w:i/>
          <w:color w:val="000000" w:themeColor="text1"/>
        </w:rPr>
        <w:t>Handbook of competence and motivation: Theory and application</w:t>
      </w:r>
      <w:r w:rsidRPr="004D4C57">
        <w:rPr>
          <w:rFonts w:eastAsiaTheme="minorHAnsi"/>
          <w:color w:val="000000" w:themeColor="text1"/>
        </w:rPr>
        <w:t xml:space="preserve"> (2nd Edition, pp. 240-256). New York, NY: Guilford Press.</w:t>
      </w:r>
    </w:p>
    <w:p w14:paraId="0DC45BE9" w14:textId="77777777" w:rsidR="00A748BD" w:rsidRPr="004D4C57" w:rsidRDefault="00A748BD" w:rsidP="00A748BD">
      <w:pPr>
        <w:widowControl w:val="0"/>
        <w:spacing w:line="480" w:lineRule="auto"/>
        <w:ind w:left="709" w:hanging="709"/>
        <w:rPr>
          <w:color w:val="000000" w:themeColor="text1"/>
        </w:rPr>
      </w:pPr>
      <w:r w:rsidRPr="004D4C57">
        <w:rPr>
          <w:rFonts w:eastAsiaTheme="minorHAnsi"/>
          <w:color w:val="000000" w:themeColor="text1"/>
        </w:rPr>
        <w:t>Heckhausen, J., &amp; Wrosch, C. (2016). Challenges to</w:t>
      </w:r>
      <w:r w:rsidRPr="004D4C57">
        <w:rPr>
          <w:color w:val="000000" w:themeColor="text1"/>
        </w:rPr>
        <w:t xml:space="preserve"> </w:t>
      </w:r>
      <w:r w:rsidRPr="004D4C57">
        <w:rPr>
          <w:rFonts w:eastAsiaTheme="minorHAnsi"/>
          <w:color w:val="000000" w:themeColor="text1"/>
        </w:rPr>
        <w:t>developmental regulation across the life course.</w:t>
      </w:r>
      <w:r w:rsidRPr="004D4C57">
        <w:rPr>
          <w:color w:val="000000" w:themeColor="text1"/>
        </w:rPr>
        <w:t xml:space="preserve"> </w:t>
      </w:r>
      <w:r w:rsidRPr="004D4C57">
        <w:rPr>
          <w:rFonts w:eastAsiaTheme="minorHAnsi"/>
          <w:color w:val="000000" w:themeColor="text1"/>
        </w:rPr>
        <w:t>What are they and which individual differences</w:t>
      </w:r>
      <w:r w:rsidRPr="004D4C57">
        <w:rPr>
          <w:color w:val="000000" w:themeColor="text1"/>
        </w:rPr>
        <w:t xml:space="preserve"> </w:t>
      </w:r>
      <w:r w:rsidRPr="004D4C57">
        <w:rPr>
          <w:rFonts w:eastAsiaTheme="minorHAnsi"/>
          <w:color w:val="000000" w:themeColor="text1"/>
        </w:rPr>
        <w:t xml:space="preserve">matter? </w:t>
      </w:r>
      <w:r w:rsidRPr="004D4C57">
        <w:rPr>
          <w:rFonts w:eastAsiaTheme="minorHAnsi"/>
          <w:i/>
          <w:iCs/>
          <w:color w:val="000000" w:themeColor="text1"/>
        </w:rPr>
        <w:t>International Journal of Behavioral Development,</w:t>
      </w:r>
      <w:r w:rsidRPr="004D4C57">
        <w:rPr>
          <w:i/>
          <w:iCs/>
          <w:color w:val="000000" w:themeColor="text1"/>
        </w:rPr>
        <w:t xml:space="preserve"> </w:t>
      </w:r>
      <w:r w:rsidRPr="004D4C57">
        <w:rPr>
          <w:rFonts w:eastAsiaTheme="minorHAnsi"/>
          <w:i/>
          <w:iCs/>
          <w:color w:val="000000" w:themeColor="text1"/>
        </w:rPr>
        <w:t>40,</w:t>
      </w:r>
      <w:r w:rsidRPr="004D4C57">
        <w:rPr>
          <w:rFonts w:eastAsiaTheme="minorHAnsi"/>
          <w:color w:val="000000" w:themeColor="text1"/>
        </w:rPr>
        <w:t xml:space="preserve"> 145–150</w:t>
      </w:r>
    </w:p>
    <w:p w14:paraId="3035828C" w14:textId="77777777" w:rsidR="00DC6534" w:rsidRPr="004D4C57" w:rsidRDefault="00DC6534" w:rsidP="00DC6534">
      <w:pPr>
        <w:widowControl w:val="0"/>
        <w:spacing w:line="480" w:lineRule="auto"/>
        <w:ind w:left="709" w:hanging="709"/>
        <w:rPr>
          <w:color w:val="000000" w:themeColor="text1"/>
        </w:rPr>
      </w:pPr>
      <w:r w:rsidRPr="004D4C57">
        <w:rPr>
          <w:color w:val="000000" w:themeColor="text1"/>
        </w:rPr>
        <w:t xml:space="preserve">Heckhausen, J., Wrosch, C., &amp; Schulz, R. (2010). A motivational theory of life-span </w:t>
      </w:r>
      <w:r w:rsidRPr="004D4C57">
        <w:rPr>
          <w:color w:val="000000" w:themeColor="text1"/>
        </w:rPr>
        <w:lastRenderedPageBreak/>
        <w:t xml:space="preserve">development. </w:t>
      </w:r>
      <w:r w:rsidRPr="004D4C57">
        <w:rPr>
          <w:i/>
          <w:color w:val="000000" w:themeColor="text1"/>
        </w:rPr>
        <w:t>Psychological Review, 117,</w:t>
      </w:r>
      <w:r w:rsidRPr="004D4C57">
        <w:rPr>
          <w:color w:val="000000" w:themeColor="text1"/>
        </w:rPr>
        <w:t xml:space="preserve"> 32-60. doi:10.1037/a0017668</w:t>
      </w:r>
    </w:p>
    <w:p w14:paraId="0FDE0449" w14:textId="77777777" w:rsidR="00DC6534" w:rsidRPr="004D4C57" w:rsidRDefault="00DC6534" w:rsidP="00DC6534">
      <w:pPr>
        <w:widowControl w:val="0"/>
        <w:spacing w:line="480" w:lineRule="auto"/>
        <w:ind w:left="709" w:hanging="709"/>
        <w:rPr>
          <w:color w:val="000000" w:themeColor="text1"/>
        </w:rPr>
      </w:pPr>
      <w:r w:rsidRPr="004D4C57">
        <w:rPr>
          <w:color w:val="000000" w:themeColor="text1"/>
        </w:rPr>
        <w:t xml:space="preserve">Heckhausen, J., Wrosch, C., &amp; Schulz, R. (2019). Agency and motivation in adulthood and old age. </w:t>
      </w:r>
      <w:r w:rsidRPr="004D4C57">
        <w:rPr>
          <w:i/>
          <w:color w:val="000000" w:themeColor="text1"/>
        </w:rPr>
        <w:t>Annual Review of Psychology, 70</w:t>
      </w:r>
      <w:r w:rsidRPr="004D4C57">
        <w:rPr>
          <w:color w:val="000000" w:themeColor="text1"/>
        </w:rPr>
        <w:t>, 191-217.</w:t>
      </w:r>
    </w:p>
    <w:p w14:paraId="62B1BC14" w14:textId="77777777" w:rsidR="00A748BD" w:rsidRPr="004D4C57" w:rsidRDefault="00A748BD" w:rsidP="00A748BD">
      <w:pPr>
        <w:widowControl w:val="0"/>
        <w:spacing w:line="480" w:lineRule="auto"/>
        <w:ind w:left="709" w:hanging="709"/>
        <w:rPr>
          <w:color w:val="000000" w:themeColor="text1"/>
        </w:rPr>
      </w:pPr>
      <w:r w:rsidRPr="004D4C57">
        <w:rPr>
          <w:color w:val="000000" w:themeColor="text1"/>
        </w:rPr>
        <w:t xml:space="preserve">Hershey, D. A., Jacobs-Lawson, J. M., &amp; </w:t>
      </w:r>
      <w:proofErr w:type="spellStart"/>
      <w:r w:rsidRPr="004D4C57">
        <w:rPr>
          <w:color w:val="000000" w:themeColor="text1"/>
        </w:rPr>
        <w:t>Neukam</w:t>
      </w:r>
      <w:proofErr w:type="spellEnd"/>
      <w:r w:rsidRPr="004D4C57">
        <w:rPr>
          <w:color w:val="000000" w:themeColor="text1"/>
        </w:rPr>
        <w:t>, K. A. (2002). Influences of age and gender on workers' goals for retirement. </w:t>
      </w:r>
      <w:r w:rsidRPr="004D4C57">
        <w:rPr>
          <w:i/>
          <w:iCs/>
          <w:color w:val="000000" w:themeColor="text1"/>
        </w:rPr>
        <w:t>The International Journal of Aging and Human Development</w:t>
      </w:r>
      <w:r w:rsidRPr="004D4C57">
        <w:rPr>
          <w:color w:val="000000" w:themeColor="text1"/>
        </w:rPr>
        <w:t>, </w:t>
      </w:r>
      <w:r w:rsidRPr="004D4C57">
        <w:rPr>
          <w:i/>
          <w:iCs/>
          <w:color w:val="000000" w:themeColor="text1"/>
        </w:rPr>
        <w:t>55</w:t>
      </w:r>
      <w:r w:rsidRPr="004D4C57">
        <w:rPr>
          <w:color w:val="000000" w:themeColor="text1"/>
        </w:rPr>
        <w:t>, 163-179.</w:t>
      </w:r>
    </w:p>
    <w:p w14:paraId="5259BF9D" w14:textId="77777777" w:rsidR="00DC6534" w:rsidRPr="004D4C57" w:rsidRDefault="00DC6534" w:rsidP="00DC6534">
      <w:pPr>
        <w:widowControl w:val="0"/>
        <w:spacing w:line="480" w:lineRule="auto"/>
        <w:ind w:left="709" w:hanging="709"/>
        <w:rPr>
          <w:rFonts w:eastAsia="Times New Roman"/>
          <w:color w:val="000000" w:themeColor="text1"/>
          <w:lang w:val="en-CA"/>
        </w:rPr>
      </w:pPr>
      <w:r w:rsidRPr="004D4C57">
        <w:rPr>
          <w:rFonts w:eastAsia="Times New Roman"/>
          <w:color w:val="000000" w:themeColor="text1"/>
          <w:lang w:val="en-CA"/>
        </w:rPr>
        <w:t xml:space="preserve">Hertzog, C., Kramer, A. F., Wilson, R. S., &amp; </w:t>
      </w:r>
      <w:proofErr w:type="spellStart"/>
      <w:r w:rsidRPr="004D4C57">
        <w:rPr>
          <w:rFonts w:eastAsia="Times New Roman"/>
          <w:color w:val="000000" w:themeColor="text1"/>
          <w:lang w:val="en-CA"/>
        </w:rPr>
        <w:t>Lindenberger</w:t>
      </w:r>
      <w:proofErr w:type="spellEnd"/>
      <w:r w:rsidRPr="004D4C57">
        <w:rPr>
          <w:rFonts w:eastAsia="Times New Roman"/>
          <w:color w:val="000000" w:themeColor="text1"/>
          <w:lang w:val="en-CA"/>
        </w:rPr>
        <w:t>, U. (2008). Enrichment effects on adult cognitive development: Can the functional capacity of older adults be preserved and enhanced? </w:t>
      </w:r>
      <w:r w:rsidRPr="004D4C57">
        <w:rPr>
          <w:rFonts w:eastAsia="Times New Roman"/>
          <w:i/>
          <w:iCs/>
          <w:color w:val="000000" w:themeColor="text1"/>
          <w:lang w:val="en-CA"/>
        </w:rPr>
        <w:t>Psychological Science in the Public Interest</w:t>
      </w:r>
      <w:r w:rsidRPr="004D4C57">
        <w:rPr>
          <w:rFonts w:eastAsia="Times New Roman"/>
          <w:color w:val="000000" w:themeColor="text1"/>
          <w:lang w:val="en-CA"/>
        </w:rPr>
        <w:t>, </w:t>
      </w:r>
      <w:r w:rsidRPr="004D4C57">
        <w:rPr>
          <w:rFonts w:eastAsia="Times New Roman"/>
          <w:i/>
          <w:iCs/>
          <w:color w:val="000000" w:themeColor="text1"/>
          <w:lang w:val="en-CA"/>
        </w:rPr>
        <w:t>9</w:t>
      </w:r>
      <w:r w:rsidRPr="004D4C57">
        <w:rPr>
          <w:rFonts w:eastAsia="Times New Roman"/>
          <w:color w:val="000000" w:themeColor="text1"/>
          <w:lang w:val="en-CA"/>
        </w:rPr>
        <w:t>, 1-65. doi:10.1111/j.1539-6053.2009.01034.x</w:t>
      </w:r>
    </w:p>
    <w:p w14:paraId="345DCBB3" w14:textId="77777777" w:rsidR="003A243C" w:rsidRPr="004D4C57" w:rsidRDefault="003A243C" w:rsidP="003A243C">
      <w:pPr>
        <w:widowControl w:val="0"/>
        <w:spacing w:line="480" w:lineRule="auto"/>
        <w:ind w:left="709" w:hanging="709"/>
        <w:rPr>
          <w:rFonts w:eastAsia="Times New Roman"/>
          <w:color w:val="000000" w:themeColor="text1"/>
          <w:lang w:val="en-CA"/>
        </w:rPr>
      </w:pPr>
      <w:r w:rsidRPr="004D4C57">
        <w:rPr>
          <w:rFonts w:eastAsia="Times New Roman"/>
          <w:color w:val="000000" w:themeColor="text1"/>
          <w:lang w:val="en-CA"/>
        </w:rPr>
        <w:t xml:space="preserve">Ho, D., Imai, K., King, G., &amp; Stuart, E. A. (2011). </w:t>
      </w:r>
      <w:proofErr w:type="spellStart"/>
      <w:r w:rsidRPr="004D4C57">
        <w:rPr>
          <w:rFonts w:eastAsia="Times New Roman"/>
          <w:color w:val="000000" w:themeColor="text1"/>
          <w:lang w:val="en-CA"/>
        </w:rPr>
        <w:t>MatchIt</w:t>
      </w:r>
      <w:proofErr w:type="spellEnd"/>
      <w:r w:rsidRPr="004D4C57">
        <w:rPr>
          <w:rFonts w:eastAsia="Times New Roman"/>
          <w:color w:val="000000" w:themeColor="text1"/>
          <w:lang w:val="en-CA"/>
        </w:rPr>
        <w:t xml:space="preserve">: Nonparametric preprocessing for parametric causal inference. </w:t>
      </w:r>
      <w:r w:rsidRPr="004D4C57">
        <w:rPr>
          <w:rFonts w:eastAsia="Times New Roman"/>
          <w:i/>
          <w:iCs/>
          <w:color w:val="000000" w:themeColor="text1"/>
          <w:lang w:val="en-CA"/>
        </w:rPr>
        <w:t xml:space="preserve">Journal of Statistical Software, 42, </w:t>
      </w:r>
      <w:r w:rsidRPr="004D4C57">
        <w:rPr>
          <w:rFonts w:eastAsia="Times New Roman"/>
          <w:color w:val="000000" w:themeColor="text1"/>
          <w:lang w:val="en-CA"/>
        </w:rPr>
        <w:t>1-28.</w:t>
      </w:r>
    </w:p>
    <w:p w14:paraId="5818D0E9" w14:textId="77777777" w:rsidR="00DC6534" w:rsidRPr="004D4C57" w:rsidRDefault="00DC6534" w:rsidP="00DC6534">
      <w:pPr>
        <w:widowControl w:val="0"/>
        <w:spacing w:line="480" w:lineRule="auto"/>
        <w:ind w:left="709" w:hanging="709"/>
        <w:rPr>
          <w:rFonts w:eastAsia="Times New Roman"/>
          <w:color w:val="000000" w:themeColor="text1"/>
          <w:lang w:val="en-CA"/>
        </w:rPr>
      </w:pPr>
      <w:r w:rsidRPr="004D4C57">
        <w:rPr>
          <w:rFonts w:eastAsia="Times New Roman"/>
          <w:color w:val="000000" w:themeColor="text1"/>
          <w:lang w:val="en-CA"/>
        </w:rPr>
        <w:t xml:space="preserve">Hughes, M. L., </w:t>
      </w:r>
      <w:proofErr w:type="spellStart"/>
      <w:r w:rsidRPr="004D4C57">
        <w:rPr>
          <w:rFonts w:eastAsia="Times New Roman"/>
          <w:color w:val="000000" w:themeColor="text1"/>
          <w:lang w:val="en-CA"/>
        </w:rPr>
        <w:t>Agrigoroaei</w:t>
      </w:r>
      <w:proofErr w:type="spellEnd"/>
      <w:r w:rsidRPr="004D4C57">
        <w:rPr>
          <w:rFonts w:eastAsia="Times New Roman"/>
          <w:color w:val="000000" w:themeColor="text1"/>
          <w:lang w:val="en-CA"/>
        </w:rPr>
        <w:t xml:space="preserve">, S., Jeon, M., </w:t>
      </w:r>
      <w:proofErr w:type="spellStart"/>
      <w:r w:rsidRPr="004D4C57">
        <w:rPr>
          <w:rFonts w:eastAsia="Times New Roman"/>
          <w:color w:val="000000" w:themeColor="text1"/>
          <w:lang w:val="en-CA"/>
        </w:rPr>
        <w:t>Bruzzese</w:t>
      </w:r>
      <w:proofErr w:type="spellEnd"/>
      <w:r w:rsidRPr="004D4C57">
        <w:rPr>
          <w:rFonts w:eastAsia="Times New Roman"/>
          <w:color w:val="000000" w:themeColor="text1"/>
          <w:lang w:val="en-CA"/>
        </w:rPr>
        <w:t>, M., &amp; Lachman, M. E. (2018). Change in cognitive performance from midlife into old age: Findings from the Midlife in the United States (MIDUS) study. </w:t>
      </w:r>
      <w:r w:rsidRPr="004D4C57">
        <w:rPr>
          <w:rFonts w:eastAsia="Times New Roman"/>
          <w:i/>
          <w:iCs/>
          <w:color w:val="000000" w:themeColor="text1"/>
          <w:lang w:val="en-CA"/>
        </w:rPr>
        <w:t>Journal of the International Neuropsychological Society</w:t>
      </w:r>
      <w:r w:rsidRPr="004D4C57">
        <w:rPr>
          <w:rFonts w:eastAsia="Times New Roman"/>
          <w:color w:val="000000" w:themeColor="text1"/>
          <w:lang w:val="en-CA"/>
        </w:rPr>
        <w:t>, </w:t>
      </w:r>
      <w:r w:rsidRPr="004D4C57">
        <w:rPr>
          <w:rFonts w:eastAsia="Times New Roman"/>
          <w:i/>
          <w:iCs/>
          <w:color w:val="000000" w:themeColor="text1"/>
          <w:lang w:val="en-CA"/>
        </w:rPr>
        <w:t>24</w:t>
      </w:r>
      <w:r w:rsidRPr="004D4C57">
        <w:rPr>
          <w:rFonts w:eastAsia="Times New Roman"/>
          <w:color w:val="000000" w:themeColor="text1"/>
          <w:lang w:val="en-CA"/>
        </w:rPr>
        <w:t>, 805-820.</w:t>
      </w:r>
    </w:p>
    <w:p w14:paraId="2EE0CADF" w14:textId="0AD04AC7" w:rsidR="003A243C" w:rsidRPr="004D4C57" w:rsidRDefault="003A243C" w:rsidP="003A243C">
      <w:pPr>
        <w:widowControl w:val="0"/>
        <w:spacing w:line="480" w:lineRule="auto"/>
        <w:ind w:left="709" w:hanging="709"/>
        <w:rPr>
          <w:rFonts w:eastAsia="Times New Roman"/>
          <w:color w:val="000000" w:themeColor="text1"/>
        </w:rPr>
      </w:pPr>
      <w:proofErr w:type="spellStart"/>
      <w:r w:rsidRPr="004D4C57">
        <w:rPr>
          <w:rFonts w:eastAsia="Times New Roman"/>
          <w:color w:val="000000" w:themeColor="text1"/>
        </w:rPr>
        <w:t>Hülür</w:t>
      </w:r>
      <w:proofErr w:type="spellEnd"/>
      <w:r w:rsidRPr="004D4C57">
        <w:rPr>
          <w:rFonts w:eastAsia="Times New Roman"/>
          <w:color w:val="000000" w:themeColor="text1"/>
        </w:rPr>
        <w:t xml:space="preserve">, G., Ram, N., Willis, S. L., </w:t>
      </w:r>
      <w:proofErr w:type="spellStart"/>
      <w:r w:rsidRPr="004D4C57">
        <w:rPr>
          <w:rFonts w:eastAsia="Times New Roman"/>
          <w:color w:val="000000" w:themeColor="text1"/>
        </w:rPr>
        <w:t>Schaie</w:t>
      </w:r>
      <w:proofErr w:type="spellEnd"/>
      <w:r w:rsidRPr="004D4C57">
        <w:rPr>
          <w:rFonts w:eastAsia="Times New Roman"/>
          <w:color w:val="000000" w:themeColor="text1"/>
        </w:rPr>
        <w:t xml:space="preserve">, K. W., &amp; </w:t>
      </w:r>
      <w:proofErr w:type="spellStart"/>
      <w:r w:rsidRPr="004D4C57">
        <w:rPr>
          <w:rFonts w:eastAsia="Times New Roman"/>
          <w:color w:val="000000" w:themeColor="text1"/>
        </w:rPr>
        <w:t>Gerstorf</w:t>
      </w:r>
      <w:proofErr w:type="spellEnd"/>
      <w:r w:rsidRPr="004D4C57">
        <w:rPr>
          <w:rFonts w:eastAsia="Times New Roman"/>
          <w:color w:val="000000" w:themeColor="text1"/>
        </w:rPr>
        <w:t xml:space="preserve">, D. (2019). Cohort differences in cognitive aging: The role of perceived work environment. </w:t>
      </w:r>
      <w:r w:rsidRPr="004D4C57">
        <w:rPr>
          <w:rFonts w:eastAsia="Times New Roman"/>
          <w:i/>
          <w:iCs/>
          <w:color w:val="000000" w:themeColor="text1"/>
        </w:rPr>
        <w:t xml:space="preserve">Psychology and Aging, 34, </w:t>
      </w:r>
      <w:r w:rsidRPr="004D4C57">
        <w:rPr>
          <w:rFonts w:eastAsia="Times New Roman"/>
          <w:color w:val="000000" w:themeColor="text1"/>
        </w:rPr>
        <w:t>1040</w:t>
      </w:r>
      <w:r w:rsidR="00920520" w:rsidRPr="004D4C57">
        <w:rPr>
          <w:rFonts w:eastAsia="Times New Roman"/>
          <w:color w:val="000000" w:themeColor="text1"/>
        </w:rPr>
        <w:t>-1054</w:t>
      </w:r>
      <w:r w:rsidRPr="004D4C57">
        <w:rPr>
          <w:rFonts w:eastAsia="Times New Roman"/>
          <w:color w:val="000000" w:themeColor="text1"/>
        </w:rPr>
        <w:t>.</w:t>
      </w:r>
      <w:r w:rsidR="00920520" w:rsidRPr="004D4C57">
        <w:rPr>
          <w:rFonts w:eastAsia="Times New Roman"/>
          <w:color w:val="000000" w:themeColor="text1"/>
        </w:rPr>
        <w:t xml:space="preserve"> doi:10.1037/pag0000355</w:t>
      </w:r>
    </w:p>
    <w:p w14:paraId="4B13638B" w14:textId="2DB6EF75" w:rsidR="00DC6534" w:rsidRPr="004D4C57" w:rsidRDefault="00DC6534" w:rsidP="00DC6534">
      <w:pPr>
        <w:widowControl w:val="0"/>
        <w:spacing w:line="480" w:lineRule="auto"/>
        <w:ind w:left="709" w:hanging="709"/>
        <w:rPr>
          <w:rFonts w:eastAsia="Times New Roman"/>
          <w:color w:val="000000" w:themeColor="text1"/>
          <w:lang w:val="en-CA"/>
        </w:rPr>
      </w:pPr>
      <w:proofErr w:type="spellStart"/>
      <w:r w:rsidRPr="004D4C57">
        <w:rPr>
          <w:rFonts w:eastAsia="Times New Roman"/>
          <w:color w:val="000000" w:themeColor="text1"/>
        </w:rPr>
        <w:t>Hultsch</w:t>
      </w:r>
      <w:proofErr w:type="spellEnd"/>
      <w:r w:rsidRPr="004D4C57">
        <w:rPr>
          <w:rFonts w:eastAsia="Times New Roman"/>
          <w:color w:val="000000" w:themeColor="text1"/>
        </w:rPr>
        <w:t xml:space="preserve">, D. F., Hertzog, C., Small, B. J., &amp; Dixon, R. A. (1999). Use it or lose it: Engaged lifestyle as a buffer of cognitive decline in aging? </w:t>
      </w:r>
      <w:r w:rsidRPr="004D4C57">
        <w:rPr>
          <w:rFonts w:eastAsia="Times New Roman"/>
          <w:i/>
          <w:iCs/>
          <w:color w:val="000000" w:themeColor="text1"/>
        </w:rPr>
        <w:t>Psychology and Aging, 14,</w:t>
      </w:r>
      <w:r w:rsidRPr="004D4C57">
        <w:rPr>
          <w:rFonts w:eastAsia="Times New Roman"/>
          <w:color w:val="000000" w:themeColor="text1"/>
        </w:rPr>
        <w:t xml:space="preserve"> 245-263. doi:10.1037/0882-7974.14.2.245</w:t>
      </w:r>
    </w:p>
    <w:p w14:paraId="41DEB0B9" w14:textId="77777777" w:rsidR="00DC6534" w:rsidRPr="004D4C57" w:rsidRDefault="00DC6534" w:rsidP="00DC6534">
      <w:pPr>
        <w:widowControl w:val="0"/>
        <w:spacing w:line="480" w:lineRule="auto"/>
        <w:ind w:left="709" w:hanging="709"/>
        <w:rPr>
          <w:rFonts w:eastAsia="Times New Roman"/>
          <w:color w:val="000000" w:themeColor="text1"/>
          <w:lang w:val="en-CA"/>
        </w:rPr>
      </w:pPr>
      <w:r w:rsidRPr="004D4C57">
        <w:rPr>
          <w:rFonts w:eastAsia="Times New Roman"/>
          <w:color w:val="000000" w:themeColor="text1"/>
          <w:lang w:val="en-CA"/>
        </w:rPr>
        <w:t>Kim, J. E., &amp; Moen, P. (2001). Is retirement good or bad for subjective well-being? </w:t>
      </w:r>
      <w:r w:rsidRPr="004D4C57">
        <w:rPr>
          <w:rFonts w:eastAsia="Times New Roman"/>
          <w:i/>
          <w:iCs/>
          <w:color w:val="000000" w:themeColor="text1"/>
          <w:lang w:val="en-CA"/>
        </w:rPr>
        <w:t xml:space="preserve">Current </w:t>
      </w:r>
      <w:r w:rsidRPr="004D4C57">
        <w:rPr>
          <w:rFonts w:eastAsia="Times New Roman"/>
          <w:i/>
          <w:iCs/>
          <w:color w:val="000000" w:themeColor="text1"/>
          <w:lang w:val="en-CA"/>
        </w:rPr>
        <w:lastRenderedPageBreak/>
        <w:t>Directions in Psychological Science</w:t>
      </w:r>
      <w:r w:rsidRPr="004D4C57">
        <w:rPr>
          <w:rFonts w:eastAsia="Times New Roman"/>
          <w:color w:val="000000" w:themeColor="text1"/>
          <w:lang w:val="en-CA"/>
        </w:rPr>
        <w:t>, </w:t>
      </w:r>
      <w:r w:rsidRPr="004D4C57">
        <w:rPr>
          <w:rFonts w:eastAsia="Times New Roman"/>
          <w:i/>
          <w:iCs/>
          <w:color w:val="000000" w:themeColor="text1"/>
          <w:lang w:val="en-CA"/>
        </w:rPr>
        <w:t>10</w:t>
      </w:r>
      <w:r w:rsidRPr="004D4C57">
        <w:rPr>
          <w:rFonts w:eastAsia="Times New Roman"/>
          <w:color w:val="000000" w:themeColor="text1"/>
          <w:lang w:val="en-CA"/>
        </w:rPr>
        <w:t>, 83-86.</w:t>
      </w:r>
    </w:p>
    <w:p w14:paraId="172E9242" w14:textId="77777777" w:rsidR="00DC6534" w:rsidRPr="004D4C57" w:rsidRDefault="00DC6534" w:rsidP="00DC6534">
      <w:pPr>
        <w:widowControl w:val="0"/>
        <w:spacing w:line="480" w:lineRule="auto"/>
        <w:ind w:left="709" w:hanging="709"/>
        <w:rPr>
          <w:color w:val="000000" w:themeColor="text1"/>
          <w:lang w:val="en-CA"/>
        </w:rPr>
      </w:pPr>
      <w:r w:rsidRPr="004D4C57">
        <w:rPr>
          <w:color w:val="000000" w:themeColor="text1"/>
          <w:lang w:val="en-CA"/>
        </w:rPr>
        <w:t>Kajitani, S., Sakata, K. E. I., &amp; McKenzie, C. (2017). Occupation, retirement and cognitive functioning. </w:t>
      </w:r>
      <w:r w:rsidRPr="004D4C57">
        <w:rPr>
          <w:i/>
          <w:iCs/>
          <w:color w:val="000000" w:themeColor="text1"/>
          <w:lang w:val="en-CA"/>
        </w:rPr>
        <w:t>Ageing &amp; Society</w:t>
      </w:r>
      <w:r w:rsidRPr="004D4C57">
        <w:rPr>
          <w:color w:val="000000" w:themeColor="text1"/>
          <w:lang w:val="en-CA"/>
        </w:rPr>
        <w:t>, </w:t>
      </w:r>
      <w:r w:rsidRPr="004D4C57">
        <w:rPr>
          <w:i/>
          <w:iCs/>
          <w:color w:val="000000" w:themeColor="text1"/>
          <w:lang w:val="en-CA"/>
        </w:rPr>
        <w:t>37</w:t>
      </w:r>
      <w:r w:rsidRPr="004D4C57">
        <w:rPr>
          <w:color w:val="000000" w:themeColor="text1"/>
          <w:lang w:val="en-CA"/>
        </w:rPr>
        <w:t>, 1568-1596.</w:t>
      </w:r>
    </w:p>
    <w:p w14:paraId="70ADBAC7" w14:textId="77777777" w:rsidR="00DC6534" w:rsidRPr="004D4C57" w:rsidRDefault="00DC6534" w:rsidP="00DC6534">
      <w:pPr>
        <w:widowControl w:val="0"/>
        <w:spacing w:line="480" w:lineRule="auto"/>
        <w:ind w:left="709" w:hanging="709"/>
        <w:rPr>
          <w:color w:val="000000" w:themeColor="text1"/>
          <w:lang w:val="en-CA"/>
        </w:rPr>
      </w:pPr>
      <w:proofErr w:type="spellStart"/>
      <w:r w:rsidRPr="004D4C57">
        <w:rPr>
          <w:color w:val="000000" w:themeColor="text1"/>
          <w:lang w:val="en-CA"/>
        </w:rPr>
        <w:t>Kubicek</w:t>
      </w:r>
      <w:proofErr w:type="spellEnd"/>
      <w:r w:rsidRPr="004D4C57">
        <w:rPr>
          <w:color w:val="000000" w:themeColor="text1"/>
          <w:lang w:val="en-CA"/>
        </w:rPr>
        <w:t xml:space="preserve">, B., </w:t>
      </w:r>
      <w:proofErr w:type="spellStart"/>
      <w:r w:rsidRPr="004D4C57">
        <w:rPr>
          <w:color w:val="000000" w:themeColor="text1"/>
          <w:lang w:val="en-CA"/>
        </w:rPr>
        <w:t>Korunka</w:t>
      </w:r>
      <w:proofErr w:type="spellEnd"/>
      <w:r w:rsidRPr="004D4C57">
        <w:rPr>
          <w:color w:val="000000" w:themeColor="text1"/>
          <w:lang w:val="en-CA"/>
        </w:rPr>
        <w:t xml:space="preserve">, C., </w:t>
      </w:r>
      <w:proofErr w:type="spellStart"/>
      <w:r w:rsidRPr="004D4C57">
        <w:rPr>
          <w:color w:val="000000" w:themeColor="text1"/>
          <w:lang w:val="en-CA"/>
        </w:rPr>
        <w:t>Raymo</w:t>
      </w:r>
      <w:proofErr w:type="spellEnd"/>
      <w:r w:rsidRPr="004D4C57">
        <w:rPr>
          <w:color w:val="000000" w:themeColor="text1"/>
          <w:lang w:val="en-CA"/>
        </w:rPr>
        <w:t xml:space="preserve">, J. M., &amp; </w:t>
      </w:r>
      <w:proofErr w:type="spellStart"/>
      <w:r w:rsidRPr="004D4C57">
        <w:rPr>
          <w:color w:val="000000" w:themeColor="text1"/>
          <w:lang w:val="en-CA"/>
        </w:rPr>
        <w:t>Hoonakker</w:t>
      </w:r>
      <w:proofErr w:type="spellEnd"/>
      <w:r w:rsidRPr="004D4C57">
        <w:rPr>
          <w:color w:val="000000" w:themeColor="text1"/>
          <w:lang w:val="en-CA"/>
        </w:rPr>
        <w:t>, P. (2011). Psychological well-being in retirement: The effects of personal and gendered contextual resources. </w:t>
      </w:r>
      <w:r w:rsidRPr="004D4C57">
        <w:rPr>
          <w:i/>
          <w:iCs/>
          <w:color w:val="000000" w:themeColor="text1"/>
          <w:lang w:val="en-CA"/>
        </w:rPr>
        <w:t>Journal of Occupational Health Psychology</w:t>
      </w:r>
      <w:r w:rsidRPr="004D4C57">
        <w:rPr>
          <w:color w:val="000000" w:themeColor="text1"/>
          <w:lang w:val="en-CA"/>
        </w:rPr>
        <w:t>, </w:t>
      </w:r>
      <w:r w:rsidRPr="004D4C57">
        <w:rPr>
          <w:i/>
          <w:iCs/>
          <w:color w:val="000000" w:themeColor="text1"/>
          <w:lang w:val="en-CA"/>
        </w:rPr>
        <w:t>16</w:t>
      </w:r>
      <w:r w:rsidRPr="004D4C57">
        <w:rPr>
          <w:color w:val="000000" w:themeColor="text1"/>
          <w:lang w:val="en-CA"/>
        </w:rPr>
        <w:t>, 230-246.</w:t>
      </w:r>
    </w:p>
    <w:p w14:paraId="53E34519" w14:textId="77777777" w:rsidR="00DC6534" w:rsidRPr="004D4C57" w:rsidRDefault="00DC6534" w:rsidP="00DC6534">
      <w:pPr>
        <w:widowControl w:val="0"/>
        <w:spacing w:line="480" w:lineRule="auto"/>
        <w:ind w:left="709" w:hanging="709"/>
        <w:rPr>
          <w:rFonts w:eastAsia="Times New Roman"/>
          <w:color w:val="000000" w:themeColor="text1"/>
        </w:rPr>
      </w:pPr>
      <w:r w:rsidRPr="004D4C57">
        <w:rPr>
          <w:rFonts w:eastAsia="Times New Roman"/>
          <w:color w:val="000000" w:themeColor="text1"/>
        </w:rPr>
        <w:t xml:space="preserve">Lachman, M. E. (1986). Personal control in later life: Stability, change, and cognitive correlates. In M. M. </w:t>
      </w:r>
      <w:proofErr w:type="spellStart"/>
      <w:r w:rsidRPr="004D4C57">
        <w:rPr>
          <w:rFonts w:eastAsia="Times New Roman"/>
          <w:color w:val="000000" w:themeColor="text1"/>
        </w:rPr>
        <w:t>Baltes</w:t>
      </w:r>
      <w:proofErr w:type="spellEnd"/>
      <w:r w:rsidRPr="004D4C57">
        <w:rPr>
          <w:rFonts w:eastAsia="Times New Roman"/>
          <w:color w:val="000000" w:themeColor="text1"/>
        </w:rPr>
        <w:t xml:space="preserve"> &amp; P. B. </w:t>
      </w:r>
      <w:proofErr w:type="spellStart"/>
      <w:r w:rsidRPr="004D4C57">
        <w:rPr>
          <w:rFonts w:eastAsia="Times New Roman"/>
          <w:color w:val="000000" w:themeColor="text1"/>
        </w:rPr>
        <w:t>Baltes</w:t>
      </w:r>
      <w:proofErr w:type="spellEnd"/>
      <w:r w:rsidRPr="004D4C57">
        <w:rPr>
          <w:rFonts w:eastAsia="Times New Roman"/>
          <w:color w:val="000000" w:themeColor="text1"/>
        </w:rPr>
        <w:t xml:space="preserve"> (Eds.), </w:t>
      </w:r>
      <w:r w:rsidRPr="004D4C57">
        <w:rPr>
          <w:rFonts w:eastAsia="Times New Roman"/>
          <w:i/>
          <w:iCs/>
          <w:color w:val="000000" w:themeColor="text1"/>
        </w:rPr>
        <w:t>The psychology of control and aging</w:t>
      </w:r>
      <w:r w:rsidRPr="004D4C57">
        <w:rPr>
          <w:rFonts w:eastAsia="Times New Roman"/>
          <w:color w:val="000000" w:themeColor="text1"/>
        </w:rPr>
        <w:t xml:space="preserve"> (pp. 207-236). Hillsdale, NJ: Erlbaum.</w:t>
      </w:r>
    </w:p>
    <w:p w14:paraId="50DEC3FF" w14:textId="77777777" w:rsidR="00DC6534" w:rsidRPr="004D4C57" w:rsidRDefault="00DC6534" w:rsidP="00DC6534">
      <w:pPr>
        <w:widowControl w:val="0"/>
        <w:spacing w:line="480" w:lineRule="auto"/>
        <w:ind w:left="709" w:hanging="709"/>
        <w:rPr>
          <w:rFonts w:eastAsia="Times New Roman"/>
          <w:color w:val="000000" w:themeColor="text1"/>
        </w:rPr>
      </w:pPr>
      <w:r w:rsidRPr="004D4C57">
        <w:rPr>
          <w:rFonts w:eastAsia="Times New Roman"/>
          <w:color w:val="000000" w:themeColor="text1"/>
        </w:rPr>
        <w:t xml:space="preserve">Lachman, M.E., </w:t>
      </w:r>
      <w:proofErr w:type="spellStart"/>
      <w:r w:rsidRPr="004D4C57">
        <w:rPr>
          <w:rFonts w:eastAsia="Times New Roman"/>
          <w:color w:val="000000" w:themeColor="text1"/>
        </w:rPr>
        <w:t>Agrigoroaei</w:t>
      </w:r>
      <w:proofErr w:type="spellEnd"/>
      <w:r w:rsidRPr="004D4C57">
        <w:rPr>
          <w:rFonts w:eastAsia="Times New Roman"/>
          <w:color w:val="000000" w:themeColor="text1"/>
        </w:rPr>
        <w:t xml:space="preserve">, S., Tun, P.A., &amp; Weaver, S.L. (2014). Monitoring cognitive functioning: Psychometric properties of the Brief Test of Adult Cognition by Telephone. </w:t>
      </w:r>
      <w:r w:rsidRPr="004D4C57">
        <w:rPr>
          <w:rFonts w:eastAsia="Times New Roman"/>
          <w:i/>
          <w:iCs/>
          <w:color w:val="000000" w:themeColor="text1"/>
        </w:rPr>
        <w:t>Assessment, 21,</w:t>
      </w:r>
      <w:r w:rsidRPr="004D4C57">
        <w:rPr>
          <w:rFonts w:eastAsia="Times New Roman"/>
          <w:color w:val="000000" w:themeColor="text1"/>
        </w:rPr>
        <w:t xml:space="preserve"> 404–417. doi:10.1177/1073191113508807</w:t>
      </w:r>
    </w:p>
    <w:p w14:paraId="02E72520" w14:textId="0053A1CC" w:rsidR="00DC6534" w:rsidRPr="004D4C57" w:rsidRDefault="00DC6534" w:rsidP="00DC6534">
      <w:pPr>
        <w:widowControl w:val="0"/>
        <w:spacing w:line="480" w:lineRule="auto"/>
        <w:ind w:left="709" w:hanging="709"/>
        <w:rPr>
          <w:rFonts w:eastAsia="Times New Roman"/>
          <w:color w:val="000000" w:themeColor="text1"/>
        </w:rPr>
      </w:pPr>
      <w:r w:rsidRPr="004D4C57">
        <w:rPr>
          <w:rFonts w:eastAsia="Times New Roman"/>
          <w:color w:val="000000" w:themeColor="text1"/>
        </w:rPr>
        <w:t>Lachman, M.E., &amp; Tun, P.A. (2008). Cognitive testing in large-scale surveys: Assessment by telephone. In S. Hofer &amp;</w:t>
      </w:r>
      <w:r w:rsidR="00362C8E" w:rsidRPr="004D4C57">
        <w:rPr>
          <w:rFonts w:eastAsia="Times New Roman"/>
          <w:color w:val="000000" w:themeColor="text1"/>
        </w:rPr>
        <w:t xml:space="preserve"> </w:t>
      </w:r>
      <w:r w:rsidRPr="004D4C57">
        <w:rPr>
          <w:rFonts w:eastAsia="Times New Roman"/>
          <w:color w:val="000000" w:themeColor="text1"/>
        </w:rPr>
        <w:t xml:space="preserve">D. Alwin (Eds.), </w:t>
      </w:r>
      <w:r w:rsidRPr="004D4C57">
        <w:rPr>
          <w:rFonts w:eastAsia="Times New Roman"/>
          <w:i/>
          <w:iCs/>
          <w:color w:val="000000" w:themeColor="text1"/>
        </w:rPr>
        <w:t>Handbook on cognitive aging: Interdisciplinary perspectives</w:t>
      </w:r>
      <w:r w:rsidRPr="004D4C57">
        <w:rPr>
          <w:rFonts w:eastAsia="Times New Roman"/>
          <w:color w:val="000000" w:themeColor="text1"/>
        </w:rPr>
        <w:t xml:space="preserve"> (pp. 506–522). Thousand Oaks, CA: Sage Publishers.</w:t>
      </w:r>
    </w:p>
    <w:p w14:paraId="7887F3C5" w14:textId="77777777" w:rsidR="00DC6534" w:rsidRPr="004D4C57" w:rsidRDefault="00DC6534" w:rsidP="00DC6534">
      <w:pPr>
        <w:widowControl w:val="0"/>
        <w:spacing w:line="480" w:lineRule="auto"/>
        <w:ind w:left="709" w:hanging="709"/>
        <w:rPr>
          <w:rFonts w:eastAsia="Times New Roman"/>
          <w:color w:val="000000" w:themeColor="text1"/>
          <w:lang w:val="en-CA"/>
        </w:rPr>
      </w:pPr>
      <w:r w:rsidRPr="004D4C57">
        <w:rPr>
          <w:rFonts w:eastAsia="Times New Roman"/>
          <w:color w:val="000000" w:themeColor="text1"/>
          <w:lang w:val="en-CA"/>
        </w:rPr>
        <w:t>Lee, J., &amp; Little, T. D. (2017). A practical guide to propensity score analysis for applied clinical research. </w:t>
      </w:r>
      <w:r w:rsidRPr="004D4C57">
        <w:rPr>
          <w:rFonts w:eastAsia="Times New Roman"/>
          <w:i/>
          <w:iCs/>
          <w:color w:val="000000" w:themeColor="text1"/>
          <w:lang w:val="en-CA"/>
        </w:rPr>
        <w:t>Behaviour Research and Therapy</w:t>
      </w:r>
      <w:r w:rsidRPr="004D4C57">
        <w:rPr>
          <w:rFonts w:eastAsia="Times New Roman"/>
          <w:color w:val="000000" w:themeColor="text1"/>
          <w:lang w:val="en-CA"/>
        </w:rPr>
        <w:t>, </w:t>
      </w:r>
      <w:r w:rsidRPr="004D4C57">
        <w:rPr>
          <w:rFonts w:eastAsia="Times New Roman"/>
          <w:i/>
          <w:iCs/>
          <w:color w:val="000000" w:themeColor="text1"/>
          <w:lang w:val="en-CA"/>
        </w:rPr>
        <w:t>98</w:t>
      </w:r>
      <w:r w:rsidRPr="004D4C57">
        <w:rPr>
          <w:rFonts w:eastAsia="Times New Roman"/>
          <w:color w:val="000000" w:themeColor="text1"/>
          <w:lang w:val="en-CA"/>
        </w:rPr>
        <w:t>, 76-90.</w:t>
      </w:r>
    </w:p>
    <w:p w14:paraId="1DC26818" w14:textId="77777777" w:rsidR="00A748BD" w:rsidRPr="004D4C57" w:rsidRDefault="00A748BD" w:rsidP="00A748BD">
      <w:pPr>
        <w:pStyle w:val="NoSpacing"/>
        <w:widowControl w:val="0"/>
        <w:spacing w:line="480" w:lineRule="auto"/>
        <w:ind w:left="709" w:hanging="709"/>
        <w:rPr>
          <w:color w:val="000000" w:themeColor="text1"/>
        </w:rPr>
      </w:pPr>
      <w:r w:rsidRPr="004D4C57">
        <w:rPr>
          <w:color w:val="000000" w:themeColor="text1"/>
        </w:rPr>
        <w:t xml:space="preserve">Marsh, H., Parker, P.D., &amp; Morin, A.J.S. (2016). Invariance testing across samples and time: Cohort‐sequence analysis of perceived body composition. In N. Ntoumanis, &amp; N. Myers (Eds.), </w:t>
      </w:r>
      <w:r w:rsidRPr="004D4C57">
        <w:rPr>
          <w:i/>
          <w:iCs/>
          <w:color w:val="000000" w:themeColor="text1"/>
        </w:rPr>
        <w:t>An introduction to intermediate and advanced statistical analyses for sport and exercise scientists.</w:t>
      </w:r>
      <w:r w:rsidRPr="004D4C57">
        <w:rPr>
          <w:color w:val="000000" w:themeColor="text1"/>
        </w:rPr>
        <w:t xml:space="preserve"> West Sussex, United Kingdom: John Wiley &amp; Sons.</w:t>
      </w:r>
    </w:p>
    <w:p w14:paraId="129FC0C9" w14:textId="4886AE88" w:rsidR="00DC6534" w:rsidRPr="004D4C57" w:rsidRDefault="00DC6534" w:rsidP="00DC6534">
      <w:pPr>
        <w:widowControl w:val="0"/>
        <w:spacing w:line="480" w:lineRule="auto"/>
        <w:ind w:left="709" w:hanging="709"/>
        <w:rPr>
          <w:color w:val="000000" w:themeColor="text1"/>
        </w:rPr>
      </w:pPr>
      <w:r w:rsidRPr="004D4C57">
        <w:rPr>
          <w:rFonts w:eastAsia="Times New Roman"/>
          <w:color w:val="000000" w:themeColor="text1"/>
        </w:rPr>
        <w:t xml:space="preserve">Maxwell, S. E., &amp; Delaney, H. D. (2004). </w:t>
      </w:r>
      <w:r w:rsidRPr="004D4C57">
        <w:rPr>
          <w:rFonts w:eastAsia="Times New Roman"/>
          <w:i/>
          <w:color w:val="000000" w:themeColor="text1"/>
        </w:rPr>
        <w:t>Designing experiments and analyzing</w:t>
      </w:r>
      <w:r w:rsidRPr="004D4C57">
        <w:rPr>
          <w:i/>
          <w:color w:val="000000" w:themeColor="text1"/>
        </w:rPr>
        <w:t xml:space="preserve"> </w:t>
      </w:r>
      <w:r w:rsidRPr="004D4C57">
        <w:rPr>
          <w:rFonts w:eastAsia="Times New Roman"/>
          <w:i/>
          <w:color w:val="000000" w:themeColor="text1"/>
        </w:rPr>
        <w:t xml:space="preserve">data: A model </w:t>
      </w:r>
      <w:r w:rsidR="005B716B" w:rsidRPr="004D4C57">
        <w:rPr>
          <w:rFonts w:eastAsia="Times New Roman"/>
          <w:i/>
          <w:color w:val="000000" w:themeColor="text1"/>
        </w:rPr>
        <w:t>c</w:t>
      </w:r>
      <w:r w:rsidRPr="004D4C57">
        <w:rPr>
          <w:rFonts w:eastAsia="Times New Roman"/>
          <w:i/>
          <w:color w:val="000000" w:themeColor="text1"/>
        </w:rPr>
        <w:t>omparison perspective</w:t>
      </w:r>
      <w:r w:rsidRPr="004D4C57">
        <w:rPr>
          <w:rFonts w:eastAsia="Times New Roman"/>
          <w:color w:val="000000" w:themeColor="text1"/>
        </w:rPr>
        <w:t xml:space="preserve"> (2nd ed.). Mahwah,</w:t>
      </w:r>
      <w:r w:rsidRPr="004D4C57">
        <w:rPr>
          <w:color w:val="000000" w:themeColor="text1"/>
        </w:rPr>
        <w:t xml:space="preserve"> </w:t>
      </w:r>
      <w:r w:rsidRPr="004D4C57">
        <w:rPr>
          <w:rFonts w:eastAsia="Times New Roman"/>
          <w:color w:val="000000" w:themeColor="text1"/>
        </w:rPr>
        <w:t>NJ: Erlbaum.</w:t>
      </w:r>
    </w:p>
    <w:p w14:paraId="15B39EF0" w14:textId="77777777" w:rsidR="00DC6534" w:rsidRPr="004D4C57" w:rsidRDefault="00DC6534" w:rsidP="00DC6534">
      <w:pPr>
        <w:pStyle w:val="NoSpacing"/>
        <w:widowControl w:val="0"/>
        <w:spacing w:line="480" w:lineRule="auto"/>
        <w:ind w:left="709" w:hanging="709"/>
        <w:rPr>
          <w:color w:val="000000" w:themeColor="text1"/>
        </w:rPr>
      </w:pPr>
      <w:proofErr w:type="spellStart"/>
      <w:r w:rsidRPr="004D4C57">
        <w:rPr>
          <w:color w:val="000000" w:themeColor="text1"/>
        </w:rPr>
        <w:lastRenderedPageBreak/>
        <w:t>Mazzonna</w:t>
      </w:r>
      <w:proofErr w:type="spellEnd"/>
      <w:r w:rsidRPr="004D4C57">
        <w:rPr>
          <w:color w:val="000000" w:themeColor="text1"/>
        </w:rPr>
        <w:t xml:space="preserve">, F., &amp; </w:t>
      </w:r>
      <w:proofErr w:type="spellStart"/>
      <w:r w:rsidRPr="004D4C57">
        <w:rPr>
          <w:color w:val="000000" w:themeColor="text1"/>
        </w:rPr>
        <w:t>Peracchi</w:t>
      </w:r>
      <w:proofErr w:type="spellEnd"/>
      <w:r w:rsidRPr="004D4C57">
        <w:rPr>
          <w:color w:val="000000" w:themeColor="text1"/>
        </w:rPr>
        <w:t xml:space="preserve">, F. (2012). Ageing, cognitive abilities and retirement. </w:t>
      </w:r>
      <w:r w:rsidRPr="004D4C57">
        <w:rPr>
          <w:i/>
          <w:iCs/>
          <w:color w:val="000000" w:themeColor="text1"/>
        </w:rPr>
        <w:t>European Economic Review</w:t>
      </w:r>
      <w:r w:rsidRPr="004D4C57">
        <w:rPr>
          <w:color w:val="000000" w:themeColor="text1"/>
        </w:rPr>
        <w:t xml:space="preserve">, </w:t>
      </w:r>
      <w:r w:rsidRPr="004D4C57">
        <w:rPr>
          <w:i/>
          <w:iCs/>
          <w:color w:val="000000" w:themeColor="text1"/>
        </w:rPr>
        <w:t>56</w:t>
      </w:r>
      <w:r w:rsidRPr="004D4C57">
        <w:rPr>
          <w:color w:val="000000" w:themeColor="text1"/>
        </w:rPr>
        <w:t>(4), 691-710.</w:t>
      </w:r>
    </w:p>
    <w:p w14:paraId="26E50E58" w14:textId="77777777" w:rsidR="00DC6534" w:rsidRPr="004D4C57" w:rsidRDefault="00DC6534" w:rsidP="00DC6534">
      <w:pPr>
        <w:pStyle w:val="NoSpacing"/>
        <w:widowControl w:val="0"/>
        <w:spacing w:line="480" w:lineRule="auto"/>
        <w:ind w:left="709" w:hanging="709"/>
        <w:rPr>
          <w:color w:val="000000" w:themeColor="text1"/>
          <w:lang w:val="en-CA"/>
        </w:rPr>
      </w:pPr>
      <w:r w:rsidRPr="004D4C57">
        <w:rPr>
          <w:color w:val="000000" w:themeColor="text1"/>
          <w:lang w:val="en-CA"/>
        </w:rPr>
        <w:t xml:space="preserve">Moen, P., Huang, Q., </w:t>
      </w:r>
      <w:proofErr w:type="spellStart"/>
      <w:r w:rsidRPr="004D4C57">
        <w:rPr>
          <w:color w:val="000000" w:themeColor="text1"/>
          <w:lang w:val="en-CA"/>
        </w:rPr>
        <w:t>Plassmann</w:t>
      </w:r>
      <w:proofErr w:type="spellEnd"/>
      <w:r w:rsidRPr="004D4C57">
        <w:rPr>
          <w:color w:val="000000" w:themeColor="text1"/>
          <w:lang w:val="en-CA"/>
        </w:rPr>
        <w:t xml:space="preserve">, V., &amp; </w:t>
      </w:r>
      <w:proofErr w:type="spellStart"/>
      <w:r w:rsidRPr="004D4C57">
        <w:rPr>
          <w:color w:val="000000" w:themeColor="text1"/>
          <w:lang w:val="en-CA"/>
        </w:rPr>
        <w:t>Dentinger</w:t>
      </w:r>
      <w:proofErr w:type="spellEnd"/>
      <w:r w:rsidRPr="004D4C57">
        <w:rPr>
          <w:color w:val="000000" w:themeColor="text1"/>
          <w:lang w:val="en-CA"/>
        </w:rPr>
        <w:t xml:space="preserve">, E. (2006). Deciding the future: Do dual-earner couples plan together for retirement? </w:t>
      </w:r>
      <w:r w:rsidRPr="004D4C57">
        <w:rPr>
          <w:i/>
          <w:iCs/>
          <w:color w:val="000000" w:themeColor="text1"/>
          <w:lang w:val="en-CA"/>
        </w:rPr>
        <w:t>American Behavioral Scientist</w:t>
      </w:r>
      <w:r w:rsidRPr="004D4C57">
        <w:rPr>
          <w:color w:val="000000" w:themeColor="text1"/>
          <w:lang w:val="en-CA"/>
        </w:rPr>
        <w:t>, </w:t>
      </w:r>
      <w:r w:rsidRPr="004D4C57">
        <w:rPr>
          <w:i/>
          <w:iCs/>
          <w:color w:val="000000" w:themeColor="text1"/>
          <w:lang w:val="en-CA"/>
        </w:rPr>
        <w:t>49</w:t>
      </w:r>
      <w:r w:rsidRPr="004D4C57">
        <w:rPr>
          <w:color w:val="000000" w:themeColor="text1"/>
          <w:lang w:val="en-CA"/>
        </w:rPr>
        <w:t>, 1422-1443.</w:t>
      </w:r>
    </w:p>
    <w:p w14:paraId="1315C4CB" w14:textId="77777777" w:rsidR="00D87886" w:rsidRPr="004D4C57" w:rsidRDefault="00D87886" w:rsidP="00D87886">
      <w:pPr>
        <w:spacing w:line="480" w:lineRule="auto"/>
        <w:ind w:left="709" w:hanging="709"/>
        <w:rPr>
          <w:color w:val="000000" w:themeColor="text1"/>
        </w:rPr>
      </w:pPr>
      <w:proofErr w:type="spellStart"/>
      <w:r w:rsidRPr="004D4C57">
        <w:rPr>
          <w:color w:val="000000" w:themeColor="text1"/>
        </w:rPr>
        <w:t>Nicolaisen</w:t>
      </w:r>
      <w:proofErr w:type="spellEnd"/>
      <w:r w:rsidRPr="004D4C57">
        <w:rPr>
          <w:color w:val="000000" w:themeColor="text1"/>
        </w:rPr>
        <w:t>, M., Thorsen, K., &amp; Eriksen, S. H. (2012). Jump into the void? Factors related to a preferred retirement age: Gender, social interests, and leisure activities. </w:t>
      </w:r>
      <w:r w:rsidRPr="004D4C57">
        <w:rPr>
          <w:i/>
          <w:iCs/>
          <w:color w:val="000000" w:themeColor="text1"/>
        </w:rPr>
        <w:t>The International Journal of Aging and Human Development</w:t>
      </w:r>
      <w:r w:rsidRPr="004D4C57">
        <w:rPr>
          <w:color w:val="000000" w:themeColor="text1"/>
        </w:rPr>
        <w:t>, </w:t>
      </w:r>
      <w:r w:rsidRPr="004D4C57">
        <w:rPr>
          <w:i/>
          <w:iCs/>
          <w:color w:val="000000" w:themeColor="text1"/>
        </w:rPr>
        <w:t>75</w:t>
      </w:r>
      <w:r w:rsidRPr="004D4C57">
        <w:rPr>
          <w:color w:val="000000" w:themeColor="text1"/>
        </w:rPr>
        <w:t>, 239-271.</w:t>
      </w:r>
    </w:p>
    <w:p w14:paraId="539F3B56" w14:textId="77777777" w:rsidR="008A61B7" w:rsidRPr="004D4C57" w:rsidRDefault="008A61B7" w:rsidP="008A61B7">
      <w:pPr>
        <w:spacing w:line="480" w:lineRule="auto"/>
        <w:ind w:left="709" w:hanging="709"/>
        <w:rPr>
          <w:color w:val="000000" w:themeColor="text1"/>
        </w:rPr>
      </w:pPr>
      <w:proofErr w:type="spellStart"/>
      <w:r w:rsidRPr="004D4C57">
        <w:rPr>
          <w:color w:val="000000" w:themeColor="text1"/>
        </w:rPr>
        <w:t>Oltmanns</w:t>
      </w:r>
      <w:proofErr w:type="spellEnd"/>
      <w:r w:rsidRPr="004D4C57">
        <w:rPr>
          <w:color w:val="000000" w:themeColor="text1"/>
        </w:rPr>
        <w:t xml:space="preserve">, J., </w:t>
      </w:r>
      <w:proofErr w:type="spellStart"/>
      <w:r w:rsidRPr="004D4C57">
        <w:rPr>
          <w:color w:val="000000" w:themeColor="text1"/>
        </w:rPr>
        <w:t>Godde</w:t>
      </w:r>
      <w:proofErr w:type="spellEnd"/>
      <w:r w:rsidRPr="004D4C57">
        <w:rPr>
          <w:color w:val="000000" w:themeColor="text1"/>
        </w:rPr>
        <w:t xml:space="preserve">, B., </w:t>
      </w:r>
      <w:proofErr w:type="spellStart"/>
      <w:r w:rsidRPr="004D4C57">
        <w:rPr>
          <w:color w:val="000000" w:themeColor="text1"/>
        </w:rPr>
        <w:t>Winneke</w:t>
      </w:r>
      <w:proofErr w:type="spellEnd"/>
      <w:r w:rsidRPr="004D4C57">
        <w:rPr>
          <w:color w:val="000000" w:themeColor="text1"/>
        </w:rPr>
        <w:t xml:space="preserve">, A. H., Richter, G., Niemann, C., </w:t>
      </w:r>
      <w:proofErr w:type="spellStart"/>
      <w:r w:rsidRPr="004D4C57">
        <w:rPr>
          <w:color w:val="000000" w:themeColor="text1"/>
        </w:rPr>
        <w:t>Voelcker-Rehage</w:t>
      </w:r>
      <w:proofErr w:type="spellEnd"/>
      <w:r w:rsidRPr="004D4C57">
        <w:rPr>
          <w:color w:val="000000" w:themeColor="text1"/>
        </w:rPr>
        <w:t>, C., ... &amp; Staudinger, U. M. (2017). Don’t lose your brain at work–The role of recurrent novelty at work in cognitive and brain aging. </w:t>
      </w:r>
      <w:r w:rsidRPr="004D4C57">
        <w:rPr>
          <w:i/>
          <w:iCs/>
          <w:color w:val="000000" w:themeColor="text1"/>
        </w:rPr>
        <w:t>Frontiers in Psychology</w:t>
      </w:r>
      <w:r w:rsidRPr="004D4C57">
        <w:rPr>
          <w:color w:val="000000" w:themeColor="text1"/>
        </w:rPr>
        <w:t>, </w:t>
      </w:r>
      <w:r w:rsidRPr="004D4C57">
        <w:rPr>
          <w:i/>
          <w:iCs/>
          <w:color w:val="000000" w:themeColor="text1"/>
        </w:rPr>
        <w:t>8</w:t>
      </w:r>
      <w:r w:rsidRPr="004D4C57">
        <w:rPr>
          <w:color w:val="000000" w:themeColor="text1"/>
        </w:rPr>
        <w:t>, 1-16.</w:t>
      </w:r>
    </w:p>
    <w:p w14:paraId="13487F05" w14:textId="77777777" w:rsidR="008A61B7" w:rsidRPr="004D4C57" w:rsidRDefault="008A61B7" w:rsidP="008A61B7">
      <w:pPr>
        <w:spacing w:line="480" w:lineRule="auto"/>
        <w:ind w:left="709" w:hanging="709"/>
        <w:rPr>
          <w:color w:val="000000" w:themeColor="text1"/>
        </w:rPr>
      </w:pPr>
      <w:r w:rsidRPr="004D4C57">
        <w:rPr>
          <w:color w:val="000000" w:themeColor="text1"/>
        </w:rPr>
        <w:t>Pressman, S. D., &amp; Cohen, S. (2005). Does positive affect influence health? </w:t>
      </w:r>
      <w:r w:rsidRPr="004D4C57">
        <w:rPr>
          <w:i/>
          <w:iCs/>
          <w:color w:val="000000" w:themeColor="text1"/>
        </w:rPr>
        <w:t>Psychological Bulletin</w:t>
      </w:r>
      <w:r w:rsidRPr="004D4C57">
        <w:rPr>
          <w:color w:val="000000" w:themeColor="text1"/>
        </w:rPr>
        <w:t>, </w:t>
      </w:r>
      <w:r w:rsidRPr="004D4C57">
        <w:rPr>
          <w:i/>
          <w:iCs/>
          <w:color w:val="000000" w:themeColor="text1"/>
        </w:rPr>
        <w:t>131</w:t>
      </w:r>
      <w:r w:rsidRPr="004D4C57">
        <w:rPr>
          <w:color w:val="000000" w:themeColor="text1"/>
        </w:rPr>
        <w:t>, 925-971.</w:t>
      </w:r>
    </w:p>
    <w:p w14:paraId="5F3DA414" w14:textId="77777777" w:rsidR="008A61B7" w:rsidRPr="004D4C57" w:rsidRDefault="008A61B7" w:rsidP="008A61B7">
      <w:pPr>
        <w:spacing w:line="480" w:lineRule="auto"/>
        <w:ind w:left="709" w:hanging="709"/>
        <w:rPr>
          <w:color w:val="000000" w:themeColor="text1"/>
        </w:rPr>
      </w:pPr>
      <w:r w:rsidRPr="004D4C57">
        <w:rPr>
          <w:color w:val="000000" w:themeColor="text1"/>
        </w:rPr>
        <w:t>Pressman, S. D., Jenkins, B. N., &amp; Moskowitz, J. T. (2019). Positive affect and health: What do we know and where next should we go? </w:t>
      </w:r>
      <w:r w:rsidRPr="004D4C57">
        <w:rPr>
          <w:i/>
          <w:iCs/>
          <w:color w:val="000000" w:themeColor="text1"/>
        </w:rPr>
        <w:t>Annual Review of Psychology</w:t>
      </w:r>
      <w:r w:rsidRPr="004D4C57">
        <w:rPr>
          <w:color w:val="000000" w:themeColor="text1"/>
        </w:rPr>
        <w:t>, </w:t>
      </w:r>
      <w:r w:rsidRPr="004D4C57">
        <w:rPr>
          <w:i/>
          <w:iCs/>
          <w:color w:val="000000" w:themeColor="text1"/>
        </w:rPr>
        <w:t>70</w:t>
      </w:r>
      <w:r w:rsidRPr="004D4C57">
        <w:rPr>
          <w:color w:val="000000" w:themeColor="text1"/>
        </w:rPr>
        <w:t>, 627-650.</w:t>
      </w:r>
    </w:p>
    <w:p w14:paraId="6C4B69EE" w14:textId="77777777" w:rsidR="008A61B7" w:rsidRPr="004D4C57" w:rsidRDefault="008A61B7" w:rsidP="008A61B7">
      <w:pPr>
        <w:spacing w:line="480" w:lineRule="auto"/>
        <w:ind w:left="709" w:hanging="709"/>
        <w:rPr>
          <w:color w:val="000000" w:themeColor="text1"/>
        </w:rPr>
      </w:pPr>
      <w:proofErr w:type="spellStart"/>
      <w:r w:rsidRPr="004D4C57">
        <w:rPr>
          <w:color w:val="000000" w:themeColor="text1"/>
        </w:rPr>
        <w:t>Rennemark</w:t>
      </w:r>
      <w:proofErr w:type="spellEnd"/>
      <w:r w:rsidRPr="004D4C57">
        <w:rPr>
          <w:color w:val="000000" w:themeColor="text1"/>
        </w:rPr>
        <w:t>, M., &amp; Berglund, J. (2014). Decreased cognitive functions at the age of 66, as measured by the MMSE, associated with having left working life before the age of 60: results from the SNAC study. </w:t>
      </w:r>
      <w:r w:rsidRPr="004D4C57">
        <w:rPr>
          <w:i/>
          <w:iCs/>
          <w:color w:val="000000" w:themeColor="text1"/>
        </w:rPr>
        <w:t>Scandinavian Journal of Public Health</w:t>
      </w:r>
      <w:r w:rsidRPr="004D4C57">
        <w:rPr>
          <w:color w:val="000000" w:themeColor="text1"/>
        </w:rPr>
        <w:t>, </w:t>
      </w:r>
      <w:r w:rsidRPr="004D4C57">
        <w:rPr>
          <w:i/>
          <w:iCs/>
          <w:color w:val="000000" w:themeColor="text1"/>
        </w:rPr>
        <w:t>42</w:t>
      </w:r>
      <w:r w:rsidRPr="004D4C57">
        <w:rPr>
          <w:color w:val="000000" w:themeColor="text1"/>
        </w:rPr>
        <w:t>, 304-309.</w:t>
      </w:r>
    </w:p>
    <w:p w14:paraId="242BB6F0" w14:textId="77777777" w:rsidR="008A61B7" w:rsidRPr="004D4C57" w:rsidRDefault="008A61B7" w:rsidP="008A61B7">
      <w:pPr>
        <w:pStyle w:val="NoSpacing"/>
        <w:widowControl w:val="0"/>
        <w:spacing w:line="480" w:lineRule="auto"/>
        <w:ind w:left="709" w:hanging="709"/>
        <w:rPr>
          <w:color w:val="000000" w:themeColor="text1"/>
        </w:rPr>
      </w:pPr>
      <w:r w:rsidRPr="004D4C57">
        <w:rPr>
          <w:color w:val="000000" w:themeColor="text1"/>
        </w:rPr>
        <w:t>Robinson, S. A., &amp; Lachman, M. E. (2018). Perceived control and cognition in adulthood: The mediating role of physical activity. </w:t>
      </w:r>
      <w:r w:rsidRPr="004D4C57">
        <w:rPr>
          <w:i/>
          <w:iCs/>
          <w:color w:val="000000" w:themeColor="text1"/>
        </w:rPr>
        <w:t>Psychology and Aging</w:t>
      </w:r>
      <w:r w:rsidRPr="004D4C57">
        <w:rPr>
          <w:color w:val="000000" w:themeColor="text1"/>
        </w:rPr>
        <w:t>, </w:t>
      </w:r>
      <w:r w:rsidRPr="004D4C57">
        <w:rPr>
          <w:i/>
          <w:iCs/>
          <w:color w:val="000000" w:themeColor="text1"/>
        </w:rPr>
        <w:t>33</w:t>
      </w:r>
      <w:r w:rsidRPr="004D4C57">
        <w:rPr>
          <w:color w:val="000000" w:themeColor="text1"/>
        </w:rPr>
        <w:t>, 769-781.</w:t>
      </w:r>
    </w:p>
    <w:p w14:paraId="3C15E92F" w14:textId="77777777" w:rsidR="008A61B7" w:rsidRPr="004D4C57" w:rsidRDefault="008A61B7" w:rsidP="008A61B7">
      <w:pPr>
        <w:pStyle w:val="NoSpacing"/>
        <w:widowControl w:val="0"/>
        <w:spacing w:line="480" w:lineRule="auto"/>
        <w:ind w:left="709" w:hanging="709"/>
        <w:rPr>
          <w:color w:val="000000" w:themeColor="text1"/>
          <w:lang w:val="en-CA"/>
        </w:rPr>
      </w:pPr>
      <w:proofErr w:type="spellStart"/>
      <w:r w:rsidRPr="004D4C57">
        <w:rPr>
          <w:color w:val="000000" w:themeColor="text1"/>
          <w:lang w:val="en-CA"/>
        </w:rPr>
        <w:t>Rohwedder</w:t>
      </w:r>
      <w:proofErr w:type="spellEnd"/>
      <w:r w:rsidRPr="004D4C57">
        <w:rPr>
          <w:color w:val="000000" w:themeColor="text1"/>
          <w:lang w:val="en-CA"/>
        </w:rPr>
        <w:t>, S., &amp; Willis, R. J. (2010). Mental retirement. </w:t>
      </w:r>
      <w:r w:rsidRPr="004D4C57">
        <w:rPr>
          <w:i/>
          <w:iCs/>
          <w:color w:val="000000" w:themeColor="text1"/>
          <w:lang w:val="en-CA"/>
        </w:rPr>
        <w:t>Journal of Economic Perspectives</w:t>
      </w:r>
      <w:r w:rsidRPr="004D4C57">
        <w:rPr>
          <w:color w:val="000000" w:themeColor="text1"/>
          <w:lang w:val="en-CA"/>
        </w:rPr>
        <w:t>, </w:t>
      </w:r>
      <w:r w:rsidRPr="004D4C57">
        <w:rPr>
          <w:i/>
          <w:iCs/>
          <w:color w:val="000000" w:themeColor="text1"/>
          <w:lang w:val="en-CA"/>
        </w:rPr>
        <w:t>24</w:t>
      </w:r>
      <w:r w:rsidRPr="004D4C57">
        <w:rPr>
          <w:color w:val="000000" w:themeColor="text1"/>
          <w:lang w:val="en-CA"/>
        </w:rPr>
        <w:t>, 119-38. doi:10.1257/jep.24.1.119</w:t>
      </w:r>
    </w:p>
    <w:p w14:paraId="2F9F7B4E" w14:textId="77777777" w:rsidR="008A61B7" w:rsidRPr="004D4C57" w:rsidRDefault="008A61B7" w:rsidP="008A61B7">
      <w:pPr>
        <w:spacing w:line="480" w:lineRule="auto"/>
        <w:ind w:left="709" w:hanging="709"/>
        <w:rPr>
          <w:color w:val="000000" w:themeColor="text1"/>
        </w:rPr>
      </w:pPr>
      <w:proofErr w:type="spellStart"/>
      <w:r w:rsidRPr="004D4C57">
        <w:rPr>
          <w:color w:val="000000" w:themeColor="text1"/>
        </w:rPr>
        <w:lastRenderedPageBreak/>
        <w:t>Ryff</w:t>
      </w:r>
      <w:proofErr w:type="spellEnd"/>
      <w:r w:rsidRPr="004D4C57">
        <w:rPr>
          <w:color w:val="000000" w:themeColor="text1"/>
        </w:rPr>
        <w:t xml:space="preserve">, C. D., &amp; Lachman, M. E. (2009). </w:t>
      </w:r>
      <w:r w:rsidRPr="004D4C57">
        <w:rPr>
          <w:i/>
          <w:color w:val="000000" w:themeColor="text1"/>
        </w:rPr>
        <w:t>Midlife in the United States (MIDUS 2): Cognitive project, 2004-2006.</w:t>
      </w:r>
      <w:r w:rsidRPr="004D4C57">
        <w:rPr>
          <w:color w:val="000000" w:themeColor="text1"/>
        </w:rPr>
        <w:t xml:space="preserve"> Ann Arbor, MI: Inter-university Consortium for Political and Social Research [distributor], 2017-11-21. doi:10.3886/ICPSR25281.v6</w:t>
      </w:r>
    </w:p>
    <w:p w14:paraId="5B8BA8A2" w14:textId="77777777" w:rsidR="00DC6534" w:rsidRPr="004D4C57" w:rsidRDefault="00DC6534" w:rsidP="00DC6534">
      <w:pPr>
        <w:pStyle w:val="NoSpacing"/>
        <w:widowControl w:val="0"/>
        <w:spacing w:line="480" w:lineRule="auto"/>
        <w:ind w:left="709" w:hanging="709"/>
        <w:rPr>
          <w:color w:val="000000" w:themeColor="text1"/>
          <w:lang w:val="en-CA"/>
        </w:rPr>
      </w:pPr>
      <w:proofErr w:type="spellStart"/>
      <w:r w:rsidRPr="004D4C57">
        <w:rPr>
          <w:color w:val="000000" w:themeColor="text1"/>
          <w:lang w:val="en-CA"/>
        </w:rPr>
        <w:t>Ryff</w:t>
      </w:r>
      <w:proofErr w:type="spellEnd"/>
      <w:r w:rsidRPr="004D4C57">
        <w:rPr>
          <w:color w:val="000000" w:themeColor="text1"/>
          <w:lang w:val="en-CA"/>
        </w:rPr>
        <w:t xml:space="preserve">, C. D., Almeida, D., </w:t>
      </w:r>
      <w:proofErr w:type="spellStart"/>
      <w:r w:rsidRPr="004D4C57">
        <w:rPr>
          <w:color w:val="000000" w:themeColor="text1"/>
          <w:lang w:val="en-CA"/>
        </w:rPr>
        <w:t>Ayanian</w:t>
      </w:r>
      <w:proofErr w:type="spellEnd"/>
      <w:r w:rsidRPr="004D4C57">
        <w:rPr>
          <w:color w:val="000000" w:themeColor="text1"/>
          <w:lang w:val="en-CA"/>
        </w:rPr>
        <w:t xml:space="preserve">, J., Binkley, N., </w:t>
      </w:r>
      <w:proofErr w:type="spellStart"/>
      <w:r w:rsidRPr="004D4C57">
        <w:rPr>
          <w:color w:val="000000" w:themeColor="text1"/>
          <w:lang w:val="en-CA"/>
        </w:rPr>
        <w:t>Radler</w:t>
      </w:r>
      <w:proofErr w:type="spellEnd"/>
      <w:r w:rsidRPr="004D4C57">
        <w:rPr>
          <w:color w:val="000000" w:themeColor="text1"/>
          <w:lang w:val="en-CA"/>
        </w:rPr>
        <w:t xml:space="preserve">, B., </w:t>
      </w:r>
      <w:proofErr w:type="spellStart"/>
      <w:r w:rsidRPr="004D4C57">
        <w:rPr>
          <w:color w:val="000000" w:themeColor="text1"/>
          <w:lang w:val="en-CA"/>
        </w:rPr>
        <w:t>Carr</w:t>
      </w:r>
      <w:proofErr w:type="spellEnd"/>
      <w:r w:rsidRPr="004D4C57">
        <w:rPr>
          <w:color w:val="000000" w:themeColor="text1"/>
          <w:lang w:val="en-CA"/>
        </w:rPr>
        <w:t xml:space="preserve">, D. S., … Williams, D. (2017). </w:t>
      </w:r>
      <w:r w:rsidRPr="004D4C57">
        <w:rPr>
          <w:i/>
          <w:color w:val="000000" w:themeColor="text1"/>
          <w:lang w:val="en-CA"/>
        </w:rPr>
        <w:t>Midlife in the United States (MIDUS 3), 2013-2014.</w:t>
      </w:r>
      <w:r w:rsidRPr="004D4C57">
        <w:rPr>
          <w:color w:val="000000" w:themeColor="text1"/>
          <w:lang w:val="en-CA"/>
        </w:rPr>
        <w:t xml:space="preserve"> Ann Arbor, MI: Inter-university Consortium for Political and Social Research [distributor], 2017-11-21. doi:10.3886/ICPSR36346.v6</w:t>
      </w:r>
    </w:p>
    <w:p w14:paraId="50D32049" w14:textId="77777777" w:rsidR="00DC6534" w:rsidRPr="004D4C57" w:rsidRDefault="00DC6534" w:rsidP="00DC6534">
      <w:pPr>
        <w:spacing w:line="480" w:lineRule="auto"/>
        <w:ind w:left="709" w:hanging="709"/>
        <w:rPr>
          <w:color w:val="000000" w:themeColor="text1"/>
        </w:rPr>
      </w:pPr>
      <w:r w:rsidRPr="004D4C57">
        <w:rPr>
          <w:color w:val="000000" w:themeColor="text1"/>
        </w:rPr>
        <w:t xml:space="preserve">Salthouse, T. A. (1991). </w:t>
      </w:r>
      <w:r w:rsidRPr="004D4C57">
        <w:rPr>
          <w:i/>
          <w:iCs/>
          <w:color w:val="000000" w:themeColor="text1"/>
        </w:rPr>
        <w:t>Theoretical perspectives on cognitive aging.</w:t>
      </w:r>
      <w:r w:rsidRPr="004D4C57">
        <w:rPr>
          <w:color w:val="000000" w:themeColor="text1"/>
        </w:rPr>
        <w:t xml:space="preserve"> Hillsdale, NJ: Erlbaum.</w:t>
      </w:r>
    </w:p>
    <w:p w14:paraId="4E8A840F" w14:textId="77777777" w:rsidR="00DC6534" w:rsidRPr="004D4C57" w:rsidRDefault="00DC6534" w:rsidP="00DC6534">
      <w:pPr>
        <w:spacing w:line="480" w:lineRule="auto"/>
        <w:ind w:left="709" w:hanging="709"/>
        <w:rPr>
          <w:color w:val="000000" w:themeColor="text1"/>
          <w:lang w:val="en-CA"/>
        </w:rPr>
      </w:pPr>
      <w:r w:rsidRPr="004D4C57">
        <w:rPr>
          <w:color w:val="000000" w:themeColor="text1"/>
        </w:rPr>
        <w:t xml:space="preserve">Salthouse, T. A. (2006). Mental exercise and mental aging: Evaluating the validity of the “use it or lose it” hypothesis. </w:t>
      </w:r>
      <w:r w:rsidRPr="004D4C57">
        <w:rPr>
          <w:i/>
          <w:iCs/>
          <w:color w:val="000000" w:themeColor="text1"/>
        </w:rPr>
        <w:t>Perspectives on Psychological Science, 1,</w:t>
      </w:r>
      <w:r w:rsidRPr="004D4C57">
        <w:rPr>
          <w:color w:val="000000" w:themeColor="text1"/>
        </w:rPr>
        <w:t xml:space="preserve"> 68-87. doi:10.1111/j.1745-6916.2006.00005.x</w:t>
      </w:r>
    </w:p>
    <w:p w14:paraId="32F910BC" w14:textId="77777777" w:rsidR="00DC6534" w:rsidRPr="004D4C57" w:rsidRDefault="00DC6534" w:rsidP="00DC6534">
      <w:pPr>
        <w:spacing w:line="480" w:lineRule="auto"/>
        <w:ind w:left="709" w:hanging="709"/>
        <w:rPr>
          <w:color w:val="000000" w:themeColor="text1"/>
        </w:rPr>
      </w:pPr>
      <w:r w:rsidRPr="004D4C57">
        <w:rPr>
          <w:color w:val="000000" w:themeColor="text1"/>
          <w:lang w:val="en-CA"/>
        </w:rPr>
        <w:t>Salthouse, T. (2012). Consequences of age-related cognitive declines. </w:t>
      </w:r>
      <w:r w:rsidRPr="004D4C57">
        <w:rPr>
          <w:i/>
          <w:iCs/>
          <w:color w:val="000000" w:themeColor="text1"/>
          <w:lang w:val="en-CA"/>
        </w:rPr>
        <w:t>Annual Review of Psychology</w:t>
      </w:r>
      <w:r w:rsidRPr="004D4C57">
        <w:rPr>
          <w:color w:val="000000" w:themeColor="text1"/>
          <w:lang w:val="en-CA"/>
        </w:rPr>
        <w:t>, </w:t>
      </w:r>
      <w:r w:rsidRPr="004D4C57">
        <w:rPr>
          <w:i/>
          <w:iCs/>
          <w:color w:val="000000" w:themeColor="text1"/>
          <w:lang w:val="en-CA"/>
        </w:rPr>
        <w:t>63</w:t>
      </w:r>
      <w:r w:rsidRPr="004D4C57">
        <w:rPr>
          <w:color w:val="000000" w:themeColor="text1"/>
          <w:lang w:val="en-CA"/>
        </w:rPr>
        <w:t xml:space="preserve">, 201-226. </w:t>
      </w:r>
      <w:r w:rsidRPr="004D4C57">
        <w:rPr>
          <w:color w:val="000000" w:themeColor="text1"/>
        </w:rPr>
        <w:t>doi:10.1146/annurevpsych-120710-100328</w:t>
      </w:r>
    </w:p>
    <w:p w14:paraId="1803DB9C" w14:textId="77777777" w:rsidR="00DC6534" w:rsidRPr="004D4C57" w:rsidRDefault="00DC6534" w:rsidP="00DC6534">
      <w:pPr>
        <w:spacing w:line="480" w:lineRule="auto"/>
        <w:ind w:left="709" w:hanging="709"/>
        <w:rPr>
          <w:color w:val="000000" w:themeColor="text1"/>
        </w:rPr>
      </w:pPr>
      <w:proofErr w:type="spellStart"/>
      <w:r w:rsidRPr="004D4C57">
        <w:rPr>
          <w:color w:val="000000" w:themeColor="text1"/>
        </w:rPr>
        <w:t>Schaie</w:t>
      </w:r>
      <w:proofErr w:type="spellEnd"/>
      <w:r w:rsidRPr="004D4C57">
        <w:rPr>
          <w:color w:val="000000" w:themeColor="text1"/>
        </w:rPr>
        <w:t xml:space="preserve">, K.W. (1996). </w:t>
      </w:r>
      <w:r w:rsidRPr="004D4C57">
        <w:rPr>
          <w:i/>
          <w:iCs/>
          <w:color w:val="000000" w:themeColor="text1"/>
        </w:rPr>
        <w:t xml:space="preserve">Intellectual development in adulthood: The Seattle Longitudinal Study. </w:t>
      </w:r>
      <w:proofErr w:type="spellStart"/>
      <w:r w:rsidRPr="004D4C57">
        <w:rPr>
          <w:color w:val="000000" w:themeColor="text1"/>
        </w:rPr>
        <w:t>NewYork</w:t>
      </w:r>
      <w:proofErr w:type="spellEnd"/>
      <w:r w:rsidRPr="004D4C57">
        <w:rPr>
          <w:color w:val="000000" w:themeColor="text1"/>
        </w:rPr>
        <w:t>: Cambridge University Press.</w:t>
      </w:r>
    </w:p>
    <w:p w14:paraId="670CA4F2" w14:textId="77777777" w:rsidR="00DC6534" w:rsidRPr="004D4C57" w:rsidRDefault="00DC6534" w:rsidP="00DC6534">
      <w:pPr>
        <w:spacing w:line="480" w:lineRule="auto"/>
        <w:ind w:left="709" w:hanging="709"/>
        <w:rPr>
          <w:color w:val="000000" w:themeColor="text1"/>
          <w:lang w:val="en-CA"/>
        </w:rPr>
      </w:pPr>
      <w:proofErr w:type="spellStart"/>
      <w:r w:rsidRPr="004D4C57">
        <w:rPr>
          <w:color w:val="000000" w:themeColor="text1"/>
          <w:lang w:val="en-CA"/>
        </w:rPr>
        <w:t>Scherger</w:t>
      </w:r>
      <w:proofErr w:type="spellEnd"/>
      <w:r w:rsidRPr="004D4C57">
        <w:rPr>
          <w:color w:val="000000" w:themeColor="text1"/>
          <w:lang w:val="en-CA"/>
        </w:rPr>
        <w:t xml:space="preserve">, S., </w:t>
      </w:r>
      <w:proofErr w:type="spellStart"/>
      <w:r w:rsidRPr="004D4C57">
        <w:rPr>
          <w:color w:val="000000" w:themeColor="text1"/>
          <w:lang w:val="en-CA"/>
        </w:rPr>
        <w:t>Nazroo</w:t>
      </w:r>
      <w:proofErr w:type="spellEnd"/>
      <w:r w:rsidRPr="004D4C57">
        <w:rPr>
          <w:color w:val="000000" w:themeColor="text1"/>
          <w:lang w:val="en-CA"/>
        </w:rPr>
        <w:t>, J., &amp; Higgs, P. (2011). Leisure activities and retirement: do structures of inequality change in old age? </w:t>
      </w:r>
      <w:r w:rsidRPr="004D4C57">
        <w:rPr>
          <w:i/>
          <w:iCs/>
          <w:color w:val="000000" w:themeColor="text1"/>
          <w:lang w:val="en-CA"/>
        </w:rPr>
        <w:t>Ageing &amp; Society</w:t>
      </w:r>
      <w:r w:rsidRPr="004D4C57">
        <w:rPr>
          <w:color w:val="000000" w:themeColor="text1"/>
          <w:lang w:val="en-CA"/>
        </w:rPr>
        <w:t>, </w:t>
      </w:r>
      <w:r w:rsidRPr="004D4C57">
        <w:rPr>
          <w:i/>
          <w:iCs/>
          <w:color w:val="000000" w:themeColor="text1"/>
          <w:lang w:val="en-CA"/>
        </w:rPr>
        <w:t>31</w:t>
      </w:r>
      <w:r w:rsidRPr="004D4C57">
        <w:rPr>
          <w:color w:val="000000" w:themeColor="text1"/>
          <w:lang w:val="en-CA"/>
        </w:rPr>
        <w:t>, 146-172. doi:10.1017/S0144686X10000577</w:t>
      </w:r>
    </w:p>
    <w:p w14:paraId="6B20B75F" w14:textId="77777777" w:rsidR="00DC6534" w:rsidRPr="004D4C57" w:rsidRDefault="00DC6534" w:rsidP="00DC6534">
      <w:pPr>
        <w:spacing w:line="480" w:lineRule="auto"/>
        <w:ind w:left="709" w:hanging="709"/>
        <w:rPr>
          <w:color w:val="000000" w:themeColor="text1"/>
        </w:rPr>
      </w:pPr>
      <w:r w:rsidRPr="004D4C57">
        <w:rPr>
          <w:color w:val="000000" w:themeColor="text1"/>
        </w:rPr>
        <w:t xml:space="preserve">Schooler, C. (1984). Psychological effects of complex environments during the life span: A review and theory. </w:t>
      </w:r>
      <w:r w:rsidRPr="004D4C57">
        <w:rPr>
          <w:i/>
          <w:iCs/>
          <w:color w:val="000000" w:themeColor="text1"/>
        </w:rPr>
        <w:t>Intelligence, 8,</w:t>
      </w:r>
      <w:r w:rsidRPr="004D4C57">
        <w:rPr>
          <w:color w:val="000000" w:themeColor="text1"/>
        </w:rPr>
        <w:t xml:space="preserve"> 259-281. doi:10.1016/0160-2896(84)90011-4</w:t>
      </w:r>
    </w:p>
    <w:p w14:paraId="6127A116" w14:textId="77777777" w:rsidR="00DC6534" w:rsidRPr="004D4C57" w:rsidRDefault="00DC6534" w:rsidP="00DC6534">
      <w:pPr>
        <w:spacing w:line="480" w:lineRule="auto"/>
        <w:ind w:left="709" w:hanging="709"/>
        <w:rPr>
          <w:color w:val="000000" w:themeColor="text1"/>
        </w:rPr>
      </w:pPr>
      <w:r w:rsidRPr="004D4C57">
        <w:rPr>
          <w:color w:val="000000" w:themeColor="text1"/>
        </w:rPr>
        <w:t xml:space="preserve">Schooler, C. (1990). Psychological factors and effective cognitive functioning through the life span. In J. E. </w:t>
      </w:r>
      <w:proofErr w:type="spellStart"/>
      <w:r w:rsidRPr="004D4C57">
        <w:rPr>
          <w:color w:val="000000" w:themeColor="text1"/>
        </w:rPr>
        <w:t>Birren</w:t>
      </w:r>
      <w:proofErr w:type="spellEnd"/>
      <w:r w:rsidRPr="004D4C57">
        <w:rPr>
          <w:color w:val="000000" w:themeColor="text1"/>
        </w:rPr>
        <w:t xml:space="preserve"> &amp; K. W. </w:t>
      </w:r>
      <w:proofErr w:type="spellStart"/>
      <w:r w:rsidRPr="004D4C57">
        <w:rPr>
          <w:color w:val="000000" w:themeColor="text1"/>
        </w:rPr>
        <w:t>Schaie</w:t>
      </w:r>
      <w:proofErr w:type="spellEnd"/>
      <w:r w:rsidRPr="004D4C57">
        <w:rPr>
          <w:color w:val="000000" w:themeColor="text1"/>
        </w:rPr>
        <w:t xml:space="preserve"> (Eds.), </w:t>
      </w:r>
      <w:r w:rsidRPr="004D4C57">
        <w:rPr>
          <w:i/>
          <w:iCs/>
          <w:color w:val="000000" w:themeColor="text1"/>
        </w:rPr>
        <w:t>Handbook of the psychology of aging</w:t>
      </w:r>
      <w:r w:rsidRPr="004D4C57">
        <w:rPr>
          <w:color w:val="000000" w:themeColor="text1"/>
        </w:rPr>
        <w:t xml:space="preserve"> (pp. 347–358). Orlando, FL: Academic Press. doi:10.1016/B978-0-12-101280-9.50027-9</w:t>
      </w:r>
    </w:p>
    <w:p w14:paraId="485BA049" w14:textId="77777777" w:rsidR="00DC6534" w:rsidRPr="004D4C57" w:rsidRDefault="00DC6534" w:rsidP="00DC6534">
      <w:pPr>
        <w:spacing w:line="480" w:lineRule="auto"/>
        <w:ind w:left="709" w:hanging="709"/>
        <w:rPr>
          <w:color w:val="000000" w:themeColor="text1"/>
        </w:rPr>
      </w:pPr>
      <w:r w:rsidRPr="004D4C57">
        <w:rPr>
          <w:color w:val="000000" w:themeColor="text1"/>
        </w:rPr>
        <w:lastRenderedPageBreak/>
        <w:t>Shane, J., &amp; Heckhausen, J. (2016). Optimized engagement across life domains in adult development: Balancing diversity and interdomain consequences. </w:t>
      </w:r>
      <w:r w:rsidRPr="004D4C57">
        <w:rPr>
          <w:i/>
          <w:iCs/>
          <w:color w:val="000000" w:themeColor="text1"/>
        </w:rPr>
        <w:t>Research in Human Development</w:t>
      </w:r>
      <w:r w:rsidRPr="004D4C57">
        <w:rPr>
          <w:color w:val="000000" w:themeColor="text1"/>
        </w:rPr>
        <w:t>, </w:t>
      </w:r>
      <w:r w:rsidRPr="004D4C57">
        <w:rPr>
          <w:i/>
          <w:iCs/>
          <w:color w:val="000000" w:themeColor="text1"/>
        </w:rPr>
        <w:t>13</w:t>
      </w:r>
      <w:r w:rsidRPr="004D4C57">
        <w:rPr>
          <w:color w:val="000000" w:themeColor="text1"/>
        </w:rPr>
        <w:t xml:space="preserve">, 280-296. doi:10.1080/15427609.2016.1234308 </w:t>
      </w:r>
    </w:p>
    <w:p w14:paraId="7E20DB72" w14:textId="2C9339AB" w:rsidR="00DC6534" w:rsidRPr="004D4C57" w:rsidRDefault="00DC6534" w:rsidP="00DC6534">
      <w:pPr>
        <w:spacing w:line="480" w:lineRule="auto"/>
        <w:ind w:left="709" w:hanging="709"/>
        <w:rPr>
          <w:color w:val="000000" w:themeColor="text1"/>
        </w:rPr>
      </w:pPr>
      <w:r w:rsidRPr="004D4C57">
        <w:rPr>
          <w:color w:val="000000" w:themeColor="text1"/>
        </w:rPr>
        <w:t xml:space="preserve">Shane, J., &amp; Heckhausen, J. (2019). Motivational theory of lifespan development. In B. B. </w:t>
      </w:r>
      <w:proofErr w:type="spellStart"/>
      <w:r w:rsidRPr="004D4C57">
        <w:rPr>
          <w:color w:val="000000" w:themeColor="text1"/>
        </w:rPr>
        <w:t>Baltes</w:t>
      </w:r>
      <w:proofErr w:type="spellEnd"/>
      <w:r w:rsidRPr="004D4C57">
        <w:rPr>
          <w:color w:val="000000" w:themeColor="text1"/>
        </w:rPr>
        <w:t xml:space="preserve">, C. Rudolph, &amp; H. </w:t>
      </w:r>
      <w:proofErr w:type="spellStart"/>
      <w:r w:rsidRPr="004D4C57">
        <w:rPr>
          <w:color w:val="000000" w:themeColor="text1"/>
        </w:rPr>
        <w:t>Zacher</w:t>
      </w:r>
      <w:proofErr w:type="spellEnd"/>
      <w:r w:rsidRPr="004D4C57">
        <w:rPr>
          <w:color w:val="000000" w:themeColor="text1"/>
        </w:rPr>
        <w:t xml:space="preserve"> (Eds.), </w:t>
      </w:r>
      <w:r w:rsidRPr="004D4C57">
        <w:rPr>
          <w:i/>
          <w:color w:val="000000" w:themeColor="text1"/>
        </w:rPr>
        <w:t xml:space="preserve">Work </w:t>
      </w:r>
      <w:r w:rsidR="00FB5963" w:rsidRPr="004D4C57">
        <w:rPr>
          <w:i/>
          <w:color w:val="000000" w:themeColor="text1"/>
        </w:rPr>
        <w:t>a</w:t>
      </w:r>
      <w:r w:rsidRPr="004D4C57">
        <w:rPr>
          <w:i/>
          <w:color w:val="000000" w:themeColor="text1"/>
        </w:rPr>
        <w:t xml:space="preserve">cross the </w:t>
      </w:r>
      <w:r w:rsidR="00FB5963" w:rsidRPr="004D4C57">
        <w:rPr>
          <w:i/>
          <w:color w:val="000000" w:themeColor="text1"/>
        </w:rPr>
        <w:t>l</w:t>
      </w:r>
      <w:r w:rsidRPr="004D4C57">
        <w:rPr>
          <w:i/>
          <w:color w:val="000000" w:themeColor="text1"/>
        </w:rPr>
        <w:t>ifespan</w:t>
      </w:r>
      <w:r w:rsidRPr="004D4C57">
        <w:rPr>
          <w:color w:val="000000" w:themeColor="text1"/>
        </w:rPr>
        <w:t xml:space="preserve"> (pp. 111-134). Amsterdam, The Netherlands: Elsevier.</w:t>
      </w:r>
    </w:p>
    <w:p w14:paraId="176F1E23" w14:textId="77777777" w:rsidR="008A61B7" w:rsidRPr="004D4C57" w:rsidRDefault="008A61B7" w:rsidP="00DC6534">
      <w:pPr>
        <w:spacing w:line="480" w:lineRule="auto"/>
        <w:ind w:left="709" w:hanging="709"/>
        <w:rPr>
          <w:rFonts w:eastAsiaTheme="minorHAnsi"/>
          <w:color w:val="000000" w:themeColor="text1"/>
        </w:rPr>
      </w:pPr>
      <w:proofErr w:type="spellStart"/>
      <w:r w:rsidRPr="004D4C57">
        <w:rPr>
          <w:rFonts w:eastAsiaTheme="minorHAnsi"/>
          <w:color w:val="000000" w:themeColor="text1"/>
        </w:rPr>
        <w:t>Tabachnick</w:t>
      </w:r>
      <w:proofErr w:type="spellEnd"/>
      <w:r w:rsidRPr="004D4C57">
        <w:rPr>
          <w:rFonts w:eastAsiaTheme="minorHAnsi"/>
          <w:color w:val="000000" w:themeColor="text1"/>
        </w:rPr>
        <w:t xml:space="preserve">, B. G., &amp; </w:t>
      </w:r>
      <w:proofErr w:type="spellStart"/>
      <w:r w:rsidRPr="004D4C57">
        <w:rPr>
          <w:rFonts w:eastAsiaTheme="minorHAnsi"/>
          <w:color w:val="000000" w:themeColor="text1"/>
        </w:rPr>
        <w:t>Fidell</w:t>
      </w:r>
      <w:proofErr w:type="spellEnd"/>
      <w:r w:rsidRPr="004D4C57">
        <w:rPr>
          <w:rFonts w:eastAsiaTheme="minorHAnsi"/>
          <w:color w:val="000000" w:themeColor="text1"/>
        </w:rPr>
        <w:t xml:space="preserve">, L. S. (2013). </w:t>
      </w:r>
      <w:r w:rsidRPr="004D4C57">
        <w:rPr>
          <w:rFonts w:eastAsiaTheme="minorHAnsi"/>
          <w:i/>
          <w:iCs/>
          <w:color w:val="000000" w:themeColor="text1"/>
        </w:rPr>
        <w:t>Using multivariate statistics</w:t>
      </w:r>
      <w:r w:rsidRPr="004D4C57">
        <w:rPr>
          <w:rFonts w:eastAsiaTheme="minorHAnsi"/>
          <w:color w:val="000000" w:themeColor="text1"/>
        </w:rPr>
        <w:t xml:space="preserve"> (6</w:t>
      </w:r>
      <w:r w:rsidRPr="004D4C57">
        <w:rPr>
          <w:rFonts w:eastAsiaTheme="minorHAnsi"/>
          <w:color w:val="000000" w:themeColor="text1"/>
          <w:vertAlign w:val="superscript"/>
        </w:rPr>
        <w:t>th</w:t>
      </w:r>
      <w:r w:rsidRPr="004D4C57">
        <w:rPr>
          <w:color w:val="000000" w:themeColor="text1"/>
        </w:rPr>
        <w:t xml:space="preserve"> </w:t>
      </w:r>
      <w:r w:rsidRPr="004D4C57">
        <w:rPr>
          <w:rFonts w:eastAsiaTheme="minorHAnsi"/>
          <w:color w:val="000000" w:themeColor="text1"/>
        </w:rPr>
        <w:t>ed.). Boston, MA: Pearson.</w:t>
      </w:r>
    </w:p>
    <w:p w14:paraId="189A2AF2" w14:textId="3DF5BD62" w:rsidR="00DC6534" w:rsidRPr="004D4C57" w:rsidRDefault="00DC6534" w:rsidP="00DC6534">
      <w:pPr>
        <w:spacing w:line="480" w:lineRule="auto"/>
        <w:ind w:left="709" w:hanging="709"/>
        <w:rPr>
          <w:color w:val="000000" w:themeColor="text1"/>
          <w:lang w:val="en-CA"/>
        </w:rPr>
      </w:pPr>
      <w:r w:rsidRPr="004D4C57">
        <w:rPr>
          <w:color w:val="000000" w:themeColor="text1"/>
          <w:lang w:val="en-CA"/>
        </w:rPr>
        <w:t>Thoemmes, F. J., &amp; Kim, E. S. (2011). A systematic review of propensity score methods in the social sciences. </w:t>
      </w:r>
      <w:r w:rsidRPr="004D4C57">
        <w:rPr>
          <w:i/>
          <w:iCs/>
          <w:color w:val="000000" w:themeColor="text1"/>
          <w:lang w:val="en-CA"/>
        </w:rPr>
        <w:t>Multivariate Behavioral Research</w:t>
      </w:r>
      <w:r w:rsidRPr="004D4C57">
        <w:rPr>
          <w:color w:val="000000" w:themeColor="text1"/>
          <w:lang w:val="en-CA"/>
        </w:rPr>
        <w:t>, </w:t>
      </w:r>
      <w:r w:rsidRPr="004D4C57">
        <w:rPr>
          <w:i/>
          <w:iCs/>
          <w:color w:val="000000" w:themeColor="text1"/>
          <w:lang w:val="en-CA"/>
        </w:rPr>
        <w:t>46</w:t>
      </w:r>
      <w:r w:rsidRPr="004D4C57">
        <w:rPr>
          <w:color w:val="000000" w:themeColor="text1"/>
          <w:lang w:val="en-CA"/>
        </w:rPr>
        <w:t>, 90-118.</w:t>
      </w:r>
    </w:p>
    <w:p w14:paraId="6D6E36EA" w14:textId="77777777" w:rsidR="00DC6534" w:rsidRPr="004D4C57" w:rsidRDefault="00DC6534" w:rsidP="00DC6534">
      <w:pPr>
        <w:spacing w:line="480" w:lineRule="auto"/>
        <w:ind w:left="709" w:hanging="709"/>
        <w:rPr>
          <w:color w:val="000000" w:themeColor="text1"/>
        </w:rPr>
      </w:pPr>
      <w:r w:rsidRPr="004D4C57">
        <w:rPr>
          <w:color w:val="000000" w:themeColor="text1"/>
        </w:rPr>
        <w:t xml:space="preserve">Tun, P.A., &amp; Lachman, M.E. (2006). Telephone assessment of cognitive function in adulthood: The Brief Test of Adult Cognition by Telephone (BTACT). </w:t>
      </w:r>
      <w:r w:rsidRPr="004D4C57">
        <w:rPr>
          <w:i/>
          <w:iCs/>
          <w:color w:val="000000" w:themeColor="text1"/>
        </w:rPr>
        <w:t>Age and Ageing, 35,</w:t>
      </w:r>
      <w:r w:rsidRPr="004D4C57">
        <w:rPr>
          <w:color w:val="000000" w:themeColor="text1"/>
        </w:rPr>
        <w:t xml:space="preserve"> 629-632. doi:10.1093/ageing/afl095</w:t>
      </w:r>
    </w:p>
    <w:p w14:paraId="383DA745" w14:textId="77777777" w:rsidR="00DC6534" w:rsidRPr="004D4C57" w:rsidRDefault="00DC6534" w:rsidP="00DC6534">
      <w:pPr>
        <w:spacing w:line="480" w:lineRule="auto"/>
        <w:ind w:left="709" w:hanging="709"/>
        <w:rPr>
          <w:color w:val="000000" w:themeColor="text1"/>
        </w:rPr>
      </w:pPr>
      <w:r w:rsidRPr="004D4C57">
        <w:rPr>
          <w:color w:val="000000" w:themeColor="text1"/>
        </w:rPr>
        <w:t xml:space="preserve">Tun, P.A., &amp; Lachman, M.E. (2008). Age differences in reaction time in a national telephone sample of adults: Task complexity, education, and gender matter. </w:t>
      </w:r>
      <w:r w:rsidRPr="004D4C57">
        <w:rPr>
          <w:i/>
          <w:iCs/>
          <w:color w:val="000000" w:themeColor="text1"/>
        </w:rPr>
        <w:t>Developmental Psychology, 44,</w:t>
      </w:r>
      <w:r w:rsidRPr="004D4C57">
        <w:rPr>
          <w:color w:val="000000" w:themeColor="text1"/>
        </w:rPr>
        <w:t xml:space="preserve"> 1421-1429. doi:10.1037/a0012845</w:t>
      </w:r>
    </w:p>
    <w:p w14:paraId="1C3C0462" w14:textId="77777777" w:rsidR="009E4750" w:rsidRPr="004D4C57" w:rsidRDefault="009E4750" w:rsidP="009E4750">
      <w:pPr>
        <w:spacing w:line="480" w:lineRule="auto"/>
        <w:ind w:left="709" w:hanging="709"/>
        <w:rPr>
          <w:color w:val="000000" w:themeColor="text1"/>
        </w:rPr>
      </w:pPr>
      <w:r w:rsidRPr="004D4C57">
        <w:rPr>
          <w:color w:val="000000" w:themeColor="text1"/>
        </w:rPr>
        <w:t xml:space="preserve">U.S. Census Bureau (2014). </w:t>
      </w:r>
      <w:r w:rsidRPr="004D4C57">
        <w:rPr>
          <w:i/>
          <w:iCs/>
          <w:color w:val="000000" w:themeColor="text1"/>
        </w:rPr>
        <w:t xml:space="preserve">Current population survey (CPS), 2014 annual social and economic (ASEC) supplement, 2013 poverty table of contents, POV29. </w:t>
      </w:r>
      <w:r w:rsidRPr="004D4C57">
        <w:rPr>
          <w:color w:val="000000" w:themeColor="text1"/>
        </w:rPr>
        <w:t xml:space="preserve">Retrieved from </w:t>
      </w:r>
      <w:hyperlink r:id="rId10" w:history="1">
        <w:r w:rsidRPr="004D4C57">
          <w:rPr>
            <w:rStyle w:val="Hyperlink"/>
            <w:color w:val="000000" w:themeColor="text1"/>
          </w:rPr>
          <w:t>http://www.census.gov/hhes/www/cpstables/032014/pov/pov29_100.htm</w:t>
        </w:r>
      </w:hyperlink>
      <w:r w:rsidRPr="004D4C57">
        <w:rPr>
          <w:color w:val="000000" w:themeColor="text1"/>
        </w:rPr>
        <w:t xml:space="preserve"> </w:t>
      </w:r>
    </w:p>
    <w:p w14:paraId="4580DA00" w14:textId="77777777" w:rsidR="009E4750" w:rsidRPr="004D4C57" w:rsidRDefault="009E4750" w:rsidP="009E4750">
      <w:pPr>
        <w:spacing w:line="480" w:lineRule="auto"/>
        <w:ind w:left="709" w:hanging="709"/>
        <w:rPr>
          <w:color w:val="000000" w:themeColor="text1"/>
        </w:rPr>
      </w:pPr>
      <w:r w:rsidRPr="004D4C57">
        <w:rPr>
          <w:color w:val="000000" w:themeColor="text1"/>
        </w:rPr>
        <w:t xml:space="preserve">U.S. Census Bureau (2018). </w:t>
      </w:r>
      <w:r w:rsidRPr="004D4C57">
        <w:rPr>
          <w:i/>
          <w:iCs/>
          <w:color w:val="000000" w:themeColor="text1"/>
        </w:rPr>
        <w:t xml:space="preserve">Population estimates program (PEP). </w:t>
      </w:r>
      <w:r w:rsidRPr="004D4C57">
        <w:rPr>
          <w:color w:val="000000" w:themeColor="text1"/>
        </w:rPr>
        <w:t xml:space="preserve">Retrieved from </w:t>
      </w:r>
      <w:hyperlink r:id="rId11" w:history="1">
        <w:r w:rsidRPr="004D4C57">
          <w:rPr>
            <w:rStyle w:val="Hyperlink"/>
            <w:color w:val="000000" w:themeColor="text1"/>
          </w:rPr>
          <w:t>https://www.census.gov/quickfacts/fact/dashboard/US/PST045218</w:t>
        </w:r>
      </w:hyperlink>
    </w:p>
    <w:p w14:paraId="3046CA13" w14:textId="77777777" w:rsidR="00DC6534" w:rsidRPr="004D4C57" w:rsidRDefault="00DC6534" w:rsidP="00DC6534">
      <w:pPr>
        <w:spacing w:line="480" w:lineRule="auto"/>
        <w:ind w:left="709" w:hanging="709"/>
        <w:rPr>
          <w:color w:val="000000" w:themeColor="text1"/>
          <w:lang w:val="en-CA"/>
        </w:rPr>
      </w:pPr>
      <w:r w:rsidRPr="004D4C57">
        <w:rPr>
          <w:color w:val="000000" w:themeColor="text1"/>
          <w:lang w:val="en-CA"/>
        </w:rPr>
        <w:t>Wang, M., &amp; Shi, J. (2014). Psychological research on retirement. </w:t>
      </w:r>
      <w:r w:rsidRPr="004D4C57">
        <w:rPr>
          <w:i/>
          <w:iCs/>
          <w:color w:val="000000" w:themeColor="text1"/>
          <w:lang w:val="en-CA"/>
        </w:rPr>
        <w:t>Annual Review of Psychology</w:t>
      </w:r>
      <w:r w:rsidRPr="004D4C57">
        <w:rPr>
          <w:color w:val="000000" w:themeColor="text1"/>
          <w:lang w:val="en-CA"/>
        </w:rPr>
        <w:t>, </w:t>
      </w:r>
      <w:r w:rsidRPr="004D4C57">
        <w:rPr>
          <w:i/>
          <w:iCs/>
          <w:color w:val="000000" w:themeColor="text1"/>
          <w:lang w:val="en-CA"/>
        </w:rPr>
        <w:t>65</w:t>
      </w:r>
      <w:r w:rsidRPr="004D4C57">
        <w:rPr>
          <w:color w:val="000000" w:themeColor="text1"/>
          <w:lang w:val="en-CA"/>
        </w:rPr>
        <w:t>, 209-233.</w:t>
      </w:r>
    </w:p>
    <w:p w14:paraId="26C303BC" w14:textId="77777777" w:rsidR="00DC6534" w:rsidRPr="004D4C57" w:rsidRDefault="00DC6534" w:rsidP="00DC6534">
      <w:pPr>
        <w:spacing w:line="480" w:lineRule="auto"/>
        <w:ind w:left="709" w:hanging="709"/>
        <w:rPr>
          <w:color w:val="000000" w:themeColor="text1"/>
          <w:lang w:val="en-CA"/>
        </w:rPr>
      </w:pPr>
      <w:r w:rsidRPr="004D4C57">
        <w:rPr>
          <w:color w:val="000000" w:themeColor="text1"/>
          <w:lang w:val="en-CA"/>
        </w:rPr>
        <w:lastRenderedPageBreak/>
        <w:t xml:space="preserve">West, S. G., Cham, H., Thoemmes, F., </w:t>
      </w:r>
      <w:proofErr w:type="spellStart"/>
      <w:r w:rsidRPr="004D4C57">
        <w:rPr>
          <w:color w:val="000000" w:themeColor="text1"/>
          <w:lang w:val="en-CA"/>
        </w:rPr>
        <w:t>Renneberg</w:t>
      </w:r>
      <w:proofErr w:type="spellEnd"/>
      <w:r w:rsidRPr="004D4C57">
        <w:rPr>
          <w:color w:val="000000" w:themeColor="text1"/>
          <w:lang w:val="en-CA"/>
        </w:rPr>
        <w:t xml:space="preserve">, B., Schulze, J., &amp; </w:t>
      </w:r>
      <w:proofErr w:type="spellStart"/>
      <w:r w:rsidRPr="004D4C57">
        <w:rPr>
          <w:color w:val="000000" w:themeColor="text1"/>
          <w:lang w:val="en-CA"/>
        </w:rPr>
        <w:t>Weiler</w:t>
      </w:r>
      <w:proofErr w:type="spellEnd"/>
      <w:r w:rsidRPr="004D4C57">
        <w:rPr>
          <w:color w:val="000000" w:themeColor="text1"/>
          <w:lang w:val="en-CA"/>
        </w:rPr>
        <w:t>, M. (2014). Propensity scores as a basis for equating groups: Basic principles and application in clinical treatment outcome research. </w:t>
      </w:r>
      <w:r w:rsidRPr="004D4C57">
        <w:rPr>
          <w:i/>
          <w:iCs/>
          <w:color w:val="000000" w:themeColor="text1"/>
          <w:lang w:val="en-CA"/>
        </w:rPr>
        <w:t>Journal of Consulting and Clinical Psychology</w:t>
      </w:r>
      <w:r w:rsidRPr="004D4C57">
        <w:rPr>
          <w:color w:val="000000" w:themeColor="text1"/>
          <w:lang w:val="en-CA"/>
        </w:rPr>
        <w:t>, </w:t>
      </w:r>
      <w:r w:rsidRPr="004D4C57">
        <w:rPr>
          <w:i/>
          <w:iCs/>
          <w:color w:val="000000" w:themeColor="text1"/>
          <w:lang w:val="en-CA"/>
        </w:rPr>
        <w:t>82</w:t>
      </w:r>
      <w:r w:rsidRPr="004D4C57">
        <w:rPr>
          <w:color w:val="000000" w:themeColor="text1"/>
          <w:lang w:val="en-CA"/>
        </w:rPr>
        <w:t>, 906-919.</w:t>
      </w:r>
    </w:p>
    <w:p w14:paraId="22730C0E" w14:textId="77777777" w:rsidR="00DC6534" w:rsidRPr="004D4C57" w:rsidRDefault="00DC6534" w:rsidP="00DC6534">
      <w:pPr>
        <w:spacing w:line="480" w:lineRule="auto"/>
        <w:ind w:left="709" w:hanging="709"/>
        <w:rPr>
          <w:color w:val="000000" w:themeColor="text1"/>
        </w:rPr>
      </w:pPr>
      <w:proofErr w:type="spellStart"/>
      <w:r w:rsidRPr="004D4C57">
        <w:rPr>
          <w:rFonts w:eastAsia="Times New Roman"/>
          <w:color w:val="000000" w:themeColor="text1"/>
        </w:rPr>
        <w:t>Wickrama</w:t>
      </w:r>
      <w:proofErr w:type="spellEnd"/>
      <w:r w:rsidRPr="004D4C57">
        <w:rPr>
          <w:rFonts w:eastAsia="Times New Roman"/>
          <w:color w:val="000000" w:themeColor="text1"/>
        </w:rPr>
        <w:t xml:space="preserve">, K.A.S., O’Neal, C.W., </w:t>
      </w:r>
      <w:proofErr w:type="spellStart"/>
      <w:r w:rsidRPr="004D4C57">
        <w:rPr>
          <w:rFonts w:eastAsia="Times New Roman"/>
          <w:color w:val="000000" w:themeColor="text1"/>
        </w:rPr>
        <w:t>Kwag</w:t>
      </w:r>
      <w:proofErr w:type="spellEnd"/>
      <w:r w:rsidRPr="004D4C57">
        <w:rPr>
          <w:rFonts w:eastAsia="Times New Roman"/>
          <w:color w:val="000000" w:themeColor="text1"/>
        </w:rPr>
        <w:t xml:space="preserve">, K.H., &amp; Lee, T.K. (2013). Is working later in life good or bad for health? An investigation of multiple health outcomes. </w:t>
      </w:r>
      <w:r w:rsidRPr="004D4C57">
        <w:rPr>
          <w:rFonts w:eastAsia="Times New Roman"/>
          <w:i/>
          <w:color w:val="000000" w:themeColor="text1"/>
        </w:rPr>
        <w:t>Journals of Gerontology, Series B:</w:t>
      </w:r>
      <w:r w:rsidRPr="004D4C57">
        <w:rPr>
          <w:i/>
          <w:color w:val="000000" w:themeColor="text1"/>
        </w:rPr>
        <w:t xml:space="preserve"> </w:t>
      </w:r>
      <w:r w:rsidRPr="004D4C57">
        <w:rPr>
          <w:rFonts w:eastAsia="Times New Roman"/>
          <w:i/>
          <w:color w:val="000000" w:themeColor="text1"/>
        </w:rPr>
        <w:t>Psychological Sci</w:t>
      </w:r>
      <w:r w:rsidRPr="004D4C57">
        <w:rPr>
          <w:i/>
          <w:color w:val="000000" w:themeColor="text1"/>
        </w:rPr>
        <w:t>ences and Social Sciences, 68</w:t>
      </w:r>
      <w:r w:rsidRPr="004D4C57">
        <w:rPr>
          <w:rFonts w:eastAsia="Times New Roman"/>
          <w:i/>
          <w:color w:val="000000" w:themeColor="text1"/>
        </w:rPr>
        <w:t>,</w:t>
      </w:r>
      <w:r w:rsidRPr="004D4C57">
        <w:rPr>
          <w:rFonts w:eastAsia="Times New Roman"/>
          <w:color w:val="000000" w:themeColor="text1"/>
        </w:rPr>
        <w:t xml:space="preserve"> 807</w:t>
      </w:r>
      <w:r w:rsidRPr="004D4C57">
        <w:rPr>
          <w:color w:val="000000" w:themeColor="text1"/>
        </w:rPr>
        <w:t>–815, doi:10.1093/</w:t>
      </w:r>
      <w:proofErr w:type="spellStart"/>
      <w:r w:rsidRPr="004D4C57">
        <w:rPr>
          <w:color w:val="000000" w:themeColor="text1"/>
        </w:rPr>
        <w:t>geronb</w:t>
      </w:r>
      <w:proofErr w:type="spellEnd"/>
      <w:r w:rsidRPr="004D4C57">
        <w:rPr>
          <w:color w:val="000000" w:themeColor="text1"/>
        </w:rPr>
        <w:t>/gbt069</w:t>
      </w:r>
    </w:p>
    <w:p w14:paraId="32A236E0" w14:textId="77777777" w:rsidR="00DC6534" w:rsidRPr="004D4C57" w:rsidRDefault="00DC6534" w:rsidP="00DC6534">
      <w:pPr>
        <w:spacing w:line="480" w:lineRule="auto"/>
        <w:ind w:left="709" w:hanging="709"/>
        <w:rPr>
          <w:color w:val="000000" w:themeColor="text1"/>
        </w:rPr>
      </w:pPr>
      <w:r w:rsidRPr="004D4C57">
        <w:rPr>
          <w:color w:val="000000" w:themeColor="text1"/>
        </w:rPr>
        <w:t>Wrosch, C., Heckhausen, J., &amp; Lachman, M. E. (2000). Primary and secondary control strategies for managing health and financial stress across adulthood. </w:t>
      </w:r>
      <w:r w:rsidRPr="004D4C57">
        <w:rPr>
          <w:i/>
          <w:iCs/>
          <w:color w:val="000000" w:themeColor="text1"/>
        </w:rPr>
        <w:t>Psychology and Aging</w:t>
      </w:r>
      <w:r w:rsidRPr="004D4C57">
        <w:rPr>
          <w:color w:val="000000" w:themeColor="text1"/>
        </w:rPr>
        <w:t>, </w:t>
      </w:r>
      <w:r w:rsidRPr="004D4C57">
        <w:rPr>
          <w:i/>
          <w:iCs/>
          <w:color w:val="000000" w:themeColor="text1"/>
        </w:rPr>
        <w:t>15</w:t>
      </w:r>
      <w:r w:rsidRPr="004D4C57">
        <w:rPr>
          <w:color w:val="000000" w:themeColor="text1"/>
        </w:rPr>
        <w:t>, 387-399.</w:t>
      </w:r>
    </w:p>
    <w:p w14:paraId="345A1D90" w14:textId="79712D72" w:rsidR="00084899" w:rsidRPr="004D4C57" w:rsidRDefault="00DC6534" w:rsidP="00DC6534">
      <w:pPr>
        <w:spacing w:line="480" w:lineRule="auto"/>
        <w:ind w:left="709" w:hanging="709"/>
        <w:rPr>
          <w:color w:val="000000" w:themeColor="text1"/>
        </w:rPr>
      </w:pPr>
      <w:r w:rsidRPr="004D4C57">
        <w:rPr>
          <w:color w:val="000000" w:themeColor="text1"/>
        </w:rPr>
        <w:t xml:space="preserve">Wrosch, C., </w:t>
      </w:r>
      <w:proofErr w:type="spellStart"/>
      <w:r w:rsidRPr="004D4C57">
        <w:rPr>
          <w:color w:val="000000" w:themeColor="text1"/>
        </w:rPr>
        <w:t>Scheier</w:t>
      </w:r>
      <w:proofErr w:type="spellEnd"/>
      <w:r w:rsidRPr="004D4C57">
        <w:rPr>
          <w:color w:val="000000" w:themeColor="text1"/>
        </w:rPr>
        <w:t xml:space="preserve">, M. F., Carver, C. S., &amp; Schulz, R. (2003). The importance of goal disengagement in adaptive self-regulation: When giving up is beneficial. </w:t>
      </w:r>
      <w:r w:rsidRPr="004D4C57">
        <w:rPr>
          <w:i/>
          <w:iCs/>
          <w:color w:val="000000" w:themeColor="text1"/>
        </w:rPr>
        <w:t>Self and Identity, 2,</w:t>
      </w:r>
      <w:r w:rsidRPr="004D4C57">
        <w:rPr>
          <w:color w:val="000000" w:themeColor="text1"/>
        </w:rPr>
        <w:t xml:space="preserve"> 1-20. doi:10.1080/15298860309021</w:t>
      </w:r>
    </w:p>
    <w:p w14:paraId="64BE90AA" w14:textId="77777777" w:rsidR="00084899" w:rsidRPr="004D4C57" w:rsidRDefault="00084899">
      <w:pPr>
        <w:rPr>
          <w:color w:val="000000" w:themeColor="text1"/>
        </w:rPr>
      </w:pPr>
    </w:p>
    <w:p w14:paraId="742F83BC" w14:textId="5BCD0ED3" w:rsidR="00084899" w:rsidRPr="004D4C57" w:rsidRDefault="00084899">
      <w:pPr>
        <w:rPr>
          <w:color w:val="000000" w:themeColor="text1"/>
        </w:rPr>
        <w:sectPr w:rsidR="00084899" w:rsidRPr="004D4C57" w:rsidSect="002C4DF9">
          <w:headerReference w:type="even" r:id="rId12"/>
          <w:headerReference w:type="default" r:id="rId13"/>
          <w:headerReference w:type="first" r:id="rId14"/>
          <w:pgSz w:w="12240" w:h="15840"/>
          <w:pgMar w:top="1440" w:right="1440" w:bottom="1440" w:left="1440" w:header="708" w:footer="708" w:gutter="0"/>
          <w:cols w:space="708"/>
          <w:titlePg/>
          <w:docGrid w:linePitch="360"/>
        </w:sectPr>
      </w:pPr>
    </w:p>
    <w:p w14:paraId="2A863DE5" w14:textId="77777777" w:rsidR="00DC0A86" w:rsidRPr="004D4C57" w:rsidRDefault="00DC0A86" w:rsidP="00DC0A86">
      <w:pPr>
        <w:widowControl w:val="0"/>
        <w:rPr>
          <w:color w:val="000000" w:themeColor="text1"/>
        </w:rPr>
      </w:pPr>
      <w:r w:rsidRPr="004D4C57">
        <w:rPr>
          <w:color w:val="000000" w:themeColor="text1"/>
        </w:rPr>
        <w:lastRenderedPageBreak/>
        <w:t>Table 1</w:t>
      </w:r>
    </w:p>
    <w:p w14:paraId="7B014724" w14:textId="77777777" w:rsidR="00DC0A86" w:rsidRPr="004D4C57" w:rsidRDefault="00DC0A86" w:rsidP="00DC0A86">
      <w:pPr>
        <w:pStyle w:val="NoSpacing"/>
        <w:widowControl w:val="0"/>
        <w:rPr>
          <w:rFonts w:cs="Times New Roman"/>
          <w:color w:val="000000" w:themeColor="text1"/>
        </w:rPr>
      </w:pPr>
    </w:p>
    <w:p w14:paraId="7B131ED2" w14:textId="0A5E0F46" w:rsidR="00DC0A86" w:rsidRPr="004D4C57" w:rsidRDefault="00DC0A86" w:rsidP="00DC0A86">
      <w:pPr>
        <w:pStyle w:val="NoSpacing"/>
        <w:widowControl w:val="0"/>
        <w:outlineLvl w:val="0"/>
        <w:rPr>
          <w:rFonts w:cs="Times New Roman"/>
          <w:i/>
          <w:color w:val="000000" w:themeColor="text1"/>
        </w:rPr>
      </w:pPr>
      <w:r w:rsidRPr="004D4C57">
        <w:rPr>
          <w:rFonts w:cs="Times New Roman"/>
          <w:i/>
          <w:color w:val="000000" w:themeColor="text1"/>
        </w:rPr>
        <w:t xml:space="preserve">Descriptive Statistics and Interitem Correlations </w:t>
      </w:r>
      <w:r w:rsidR="00D65FE6" w:rsidRPr="004D4C57">
        <w:rPr>
          <w:rFonts w:cs="Times New Roman"/>
          <w:i/>
          <w:color w:val="000000" w:themeColor="text1"/>
        </w:rPr>
        <w:t xml:space="preserve">for the </w:t>
      </w:r>
      <w:r w:rsidR="000E081E" w:rsidRPr="004D4C57">
        <w:rPr>
          <w:rFonts w:cs="Times New Roman"/>
          <w:i/>
          <w:color w:val="000000" w:themeColor="text1"/>
        </w:rPr>
        <w:t>Pre-Match</w:t>
      </w:r>
      <w:r w:rsidR="00AA05D7" w:rsidRPr="004D4C57">
        <w:rPr>
          <w:rFonts w:cs="Times New Roman"/>
          <w:i/>
          <w:color w:val="000000" w:themeColor="text1"/>
        </w:rPr>
        <w:t xml:space="preserve">ed </w:t>
      </w:r>
      <w:r w:rsidR="00D65FE6" w:rsidRPr="004D4C57">
        <w:rPr>
          <w:rFonts w:cs="Times New Roman"/>
          <w:i/>
          <w:color w:val="000000" w:themeColor="text1"/>
        </w:rPr>
        <w:t xml:space="preserve">(Below Diagonal) and Post-Matched </w:t>
      </w:r>
      <w:r w:rsidR="004B505D" w:rsidRPr="004D4C57">
        <w:rPr>
          <w:rFonts w:cs="Times New Roman"/>
          <w:i/>
          <w:color w:val="000000" w:themeColor="text1"/>
        </w:rPr>
        <w:t xml:space="preserve">Samples </w:t>
      </w:r>
      <w:r w:rsidR="00D65FE6" w:rsidRPr="004D4C57">
        <w:rPr>
          <w:rFonts w:cs="Times New Roman"/>
          <w:i/>
          <w:color w:val="000000" w:themeColor="text1"/>
        </w:rPr>
        <w:t>(Above Diagonal)</w:t>
      </w:r>
    </w:p>
    <w:p w14:paraId="27924A1D" w14:textId="77777777" w:rsidR="00DC0A86" w:rsidRPr="004D4C57" w:rsidRDefault="00DC0A86" w:rsidP="00DC0A86">
      <w:pPr>
        <w:widowControl w:val="0"/>
        <w:autoSpaceDE w:val="0"/>
        <w:autoSpaceDN w:val="0"/>
        <w:adjustRightInd w:val="0"/>
        <w:outlineLvl w:val="0"/>
        <w:rPr>
          <w:i/>
          <w:color w:val="000000" w:themeColor="text1"/>
        </w:rPr>
      </w:pPr>
    </w:p>
    <w:tbl>
      <w:tblPr>
        <w:tblW w:w="0" w:type="auto"/>
        <w:tblCellMar>
          <w:left w:w="0" w:type="dxa"/>
          <w:right w:w="0" w:type="dxa"/>
        </w:tblCellMar>
        <w:tblLook w:val="0000" w:firstRow="0" w:lastRow="0" w:firstColumn="0" w:lastColumn="0" w:noHBand="0" w:noVBand="0"/>
      </w:tblPr>
      <w:tblGrid>
        <w:gridCol w:w="3119"/>
        <w:gridCol w:w="680"/>
        <w:gridCol w:w="680"/>
        <w:gridCol w:w="680"/>
        <w:gridCol w:w="680"/>
        <w:gridCol w:w="680"/>
        <w:gridCol w:w="680"/>
        <w:gridCol w:w="680"/>
        <w:gridCol w:w="680"/>
        <w:gridCol w:w="680"/>
        <w:gridCol w:w="680"/>
        <w:gridCol w:w="680"/>
        <w:gridCol w:w="680"/>
      </w:tblGrid>
      <w:tr w:rsidR="004D4C57" w:rsidRPr="004D4C57" w14:paraId="56DBAB95" w14:textId="44C868AD" w:rsidTr="00FD0380">
        <w:trPr>
          <w:cantSplit/>
          <w:tblHeader/>
        </w:trPr>
        <w:tc>
          <w:tcPr>
            <w:tcW w:w="3119" w:type="dxa"/>
            <w:tcBorders>
              <w:top w:val="single" w:sz="4" w:space="0" w:color="auto"/>
              <w:bottom w:val="single" w:sz="4" w:space="0" w:color="auto"/>
            </w:tcBorders>
            <w:shd w:val="clear" w:color="auto" w:fill="FFFFFF"/>
          </w:tcPr>
          <w:p w14:paraId="3231FCB3" w14:textId="77777777" w:rsidR="009C76B8" w:rsidRPr="004D4C57" w:rsidRDefault="009C76B8" w:rsidP="00DC0A86">
            <w:pPr>
              <w:widowControl w:val="0"/>
              <w:autoSpaceDE w:val="0"/>
              <w:autoSpaceDN w:val="0"/>
              <w:adjustRightInd w:val="0"/>
              <w:spacing w:before="60" w:after="60"/>
              <w:jc w:val="center"/>
              <w:rPr>
                <w:color w:val="000000" w:themeColor="text1"/>
                <w:szCs w:val="24"/>
              </w:rPr>
            </w:pPr>
          </w:p>
        </w:tc>
        <w:tc>
          <w:tcPr>
            <w:tcW w:w="680" w:type="dxa"/>
            <w:tcBorders>
              <w:top w:val="single" w:sz="4" w:space="0" w:color="auto"/>
              <w:bottom w:val="single" w:sz="4" w:space="0" w:color="auto"/>
            </w:tcBorders>
            <w:shd w:val="clear" w:color="auto" w:fill="FFFFFF"/>
          </w:tcPr>
          <w:p w14:paraId="42B8216A" w14:textId="77777777"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1</w:t>
            </w:r>
          </w:p>
        </w:tc>
        <w:tc>
          <w:tcPr>
            <w:tcW w:w="680" w:type="dxa"/>
            <w:tcBorders>
              <w:top w:val="single" w:sz="4" w:space="0" w:color="auto"/>
              <w:bottom w:val="single" w:sz="4" w:space="0" w:color="auto"/>
            </w:tcBorders>
            <w:shd w:val="clear" w:color="auto" w:fill="FFFFFF"/>
          </w:tcPr>
          <w:p w14:paraId="2CE6B6CD" w14:textId="77777777"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2</w:t>
            </w:r>
          </w:p>
        </w:tc>
        <w:tc>
          <w:tcPr>
            <w:tcW w:w="680" w:type="dxa"/>
            <w:tcBorders>
              <w:top w:val="single" w:sz="4" w:space="0" w:color="auto"/>
              <w:bottom w:val="single" w:sz="4" w:space="0" w:color="auto"/>
            </w:tcBorders>
            <w:shd w:val="clear" w:color="auto" w:fill="FFFFFF"/>
          </w:tcPr>
          <w:p w14:paraId="29FFA167" w14:textId="77777777"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3</w:t>
            </w:r>
          </w:p>
        </w:tc>
        <w:tc>
          <w:tcPr>
            <w:tcW w:w="680" w:type="dxa"/>
            <w:tcBorders>
              <w:top w:val="single" w:sz="4" w:space="0" w:color="auto"/>
              <w:bottom w:val="single" w:sz="4" w:space="0" w:color="auto"/>
            </w:tcBorders>
            <w:shd w:val="clear" w:color="auto" w:fill="FFFFFF"/>
          </w:tcPr>
          <w:p w14:paraId="4EDFB878" w14:textId="77777777"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4</w:t>
            </w:r>
          </w:p>
        </w:tc>
        <w:tc>
          <w:tcPr>
            <w:tcW w:w="680" w:type="dxa"/>
            <w:tcBorders>
              <w:top w:val="single" w:sz="4" w:space="0" w:color="auto"/>
              <w:bottom w:val="single" w:sz="4" w:space="0" w:color="auto"/>
            </w:tcBorders>
            <w:shd w:val="clear" w:color="auto" w:fill="FFFFFF"/>
          </w:tcPr>
          <w:p w14:paraId="77B4BB71" w14:textId="77777777"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5</w:t>
            </w:r>
          </w:p>
        </w:tc>
        <w:tc>
          <w:tcPr>
            <w:tcW w:w="680" w:type="dxa"/>
            <w:tcBorders>
              <w:top w:val="single" w:sz="4" w:space="0" w:color="auto"/>
              <w:bottom w:val="single" w:sz="4" w:space="0" w:color="auto"/>
            </w:tcBorders>
            <w:shd w:val="clear" w:color="auto" w:fill="FFFFFF"/>
          </w:tcPr>
          <w:p w14:paraId="6B87D4CF" w14:textId="77777777"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6</w:t>
            </w:r>
          </w:p>
        </w:tc>
        <w:tc>
          <w:tcPr>
            <w:tcW w:w="680" w:type="dxa"/>
            <w:tcBorders>
              <w:top w:val="single" w:sz="4" w:space="0" w:color="auto"/>
              <w:bottom w:val="single" w:sz="4" w:space="0" w:color="auto"/>
            </w:tcBorders>
            <w:shd w:val="clear" w:color="auto" w:fill="FFFFFF"/>
          </w:tcPr>
          <w:p w14:paraId="54FC05A7" w14:textId="77777777"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7</w:t>
            </w:r>
          </w:p>
        </w:tc>
        <w:tc>
          <w:tcPr>
            <w:tcW w:w="680" w:type="dxa"/>
            <w:tcBorders>
              <w:top w:val="single" w:sz="4" w:space="0" w:color="auto"/>
              <w:bottom w:val="single" w:sz="4" w:space="0" w:color="auto"/>
            </w:tcBorders>
            <w:shd w:val="clear" w:color="auto" w:fill="FFFFFF"/>
          </w:tcPr>
          <w:p w14:paraId="6371CCA1" w14:textId="77777777"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8</w:t>
            </w:r>
          </w:p>
        </w:tc>
        <w:tc>
          <w:tcPr>
            <w:tcW w:w="680" w:type="dxa"/>
            <w:tcBorders>
              <w:top w:val="single" w:sz="4" w:space="0" w:color="auto"/>
              <w:bottom w:val="single" w:sz="4" w:space="0" w:color="auto"/>
            </w:tcBorders>
            <w:shd w:val="clear" w:color="auto" w:fill="FFFFFF"/>
          </w:tcPr>
          <w:p w14:paraId="43B5A25D" w14:textId="1F058620"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9</w:t>
            </w:r>
          </w:p>
        </w:tc>
        <w:tc>
          <w:tcPr>
            <w:tcW w:w="680" w:type="dxa"/>
            <w:tcBorders>
              <w:top w:val="single" w:sz="4" w:space="0" w:color="auto"/>
              <w:bottom w:val="single" w:sz="4" w:space="0" w:color="auto"/>
            </w:tcBorders>
            <w:shd w:val="clear" w:color="auto" w:fill="FFFFFF"/>
          </w:tcPr>
          <w:p w14:paraId="2A22AC8B" w14:textId="75670F23"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10</w:t>
            </w:r>
          </w:p>
        </w:tc>
        <w:tc>
          <w:tcPr>
            <w:tcW w:w="680" w:type="dxa"/>
            <w:tcBorders>
              <w:top w:val="single" w:sz="4" w:space="0" w:color="auto"/>
              <w:bottom w:val="single" w:sz="4" w:space="0" w:color="auto"/>
            </w:tcBorders>
            <w:shd w:val="clear" w:color="auto" w:fill="FFFFFF"/>
          </w:tcPr>
          <w:p w14:paraId="74EF5E7C" w14:textId="18AF50D1"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11</w:t>
            </w:r>
          </w:p>
        </w:tc>
        <w:tc>
          <w:tcPr>
            <w:tcW w:w="680" w:type="dxa"/>
            <w:tcBorders>
              <w:top w:val="single" w:sz="4" w:space="0" w:color="auto"/>
              <w:bottom w:val="single" w:sz="4" w:space="0" w:color="auto"/>
            </w:tcBorders>
            <w:shd w:val="clear" w:color="auto" w:fill="FFFFFF"/>
          </w:tcPr>
          <w:p w14:paraId="5764852B" w14:textId="03D87339" w:rsidR="009C76B8" w:rsidRPr="004D4C57" w:rsidRDefault="009C76B8" w:rsidP="00DC0A86">
            <w:pPr>
              <w:widowControl w:val="0"/>
              <w:autoSpaceDE w:val="0"/>
              <w:autoSpaceDN w:val="0"/>
              <w:adjustRightInd w:val="0"/>
              <w:spacing w:before="60" w:after="60"/>
              <w:ind w:left="60" w:right="60"/>
              <w:jc w:val="center"/>
              <w:rPr>
                <w:color w:val="000000" w:themeColor="text1"/>
                <w:szCs w:val="24"/>
              </w:rPr>
            </w:pPr>
            <w:r w:rsidRPr="004D4C57">
              <w:rPr>
                <w:color w:val="000000" w:themeColor="text1"/>
                <w:szCs w:val="24"/>
              </w:rPr>
              <w:t>12</w:t>
            </w:r>
          </w:p>
        </w:tc>
      </w:tr>
      <w:tr w:rsidR="004D4C57" w:rsidRPr="004D4C57" w14:paraId="205A67C4" w14:textId="4655B809" w:rsidTr="00FD0380">
        <w:trPr>
          <w:cantSplit/>
          <w:tblHeader/>
        </w:trPr>
        <w:tc>
          <w:tcPr>
            <w:tcW w:w="3119" w:type="dxa"/>
            <w:shd w:val="clear" w:color="auto" w:fill="FFFFFF"/>
          </w:tcPr>
          <w:p w14:paraId="4452555C" w14:textId="3AD5A11C" w:rsidR="009C76B8" w:rsidRPr="004D4C57" w:rsidRDefault="009C76B8" w:rsidP="00DC0A86">
            <w:pPr>
              <w:widowControl w:val="0"/>
              <w:autoSpaceDE w:val="0"/>
              <w:autoSpaceDN w:val="0"/>
              <w:adjustRightInd w:val="0"/>
              <w:spacing w:before="60" w:after="60"/>
              <w:ind w:left="62" w:right="62"/>
              <w:rPr>
                <w:color w:val="000000" w:themeColor="text1"/>
                <w:szCs w:val="24"/>
              </w:rPr>
            </w:pPr>
            <w:r w:rsidRPr="004D4C57">
              <w:rPr>
                <w:color w:val="000000" w:themeColor="text1"/>
                <w:szCs w:val="24"/>
              </w:rPr>
              <w:t>1. M2 Age</w:t>
            </w:r>
          </w:p>
        </w:tc>
        <w:tc>
          <w:tcPr>
            <w:tcW w:w="680" w:type="dxa"/>
            <w:shd w:val="clear" w:color="auto" w:fill="FFFFFF"/>
          </w:tcPr>
          <w:p w14:paraId="25A18948" w14:textId="77777777" w:rsidR="009C76B8" w:rsidRPr="004D4C57" w:rsidRDefault="009C76B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w:t>
            </w:r>
          </w:p>
        </w:tc>
        <w:tc>
          <w:tcPr>
            <w:tcW w:w="680" w:type="dxa"/>
            <w:shd w:val="clear" w:color="auto" w:fill="FFFFFF"/>
          </w:tcPr>
          <w:p w14:paraId="411C6759" w14:textId="67C89A5E"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-.07</w:t>
            </w:r>
          </w:p>
        </w:tc>
        <w:tc>
          <w:tcPr>
            <w:tcW w:w="680" w:type="dxa"/>
            <w:shd w:val="clear" w:color="auto" w:fill="FFFFFF"/>
          </w:tcPr>
          <w:p w14:paraId="79B59327" w14:textId="6D7EA603"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.02</w:t>
            </w:r>
          </w:p>
        </w:tc>
        <w:tc>
          <w:tcPr>
            <w:tcW w:w="680" w:type="dxa"/>
            <w:shd w:val="clear" w:color="auto" w:fill="FFFFFF"/>
          </w:tcPr>
          <w:p w14:paraId="45DB267E" w14:textId="40F188D3"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-.09</w:t>
            </w:r>
          </w:p>
        </w:tc>
        <w:tc>
          <w:tcPr>
            <w:tcW w:w="680" w:type="dxa"/>
            <w:shd w:val="clear" w:color="auto" w:fill="FFFFFF"/>
          </w:tcPr>
          <w:p w14:paraId="03609C33" w14:textId="4ABD1F2F"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.00</w:t>
            </w:r>
          </w:p>
        </w:tc>
        <w:tc>
          <w:tcPr>
            <w:tcW w:w="680" w:type="dxa"/>
            <w:shd w:val="clear" w:color="auto" w:fill="FFFFFF"/>
          </w:tcPr>
          <w:p w14:paraId="2C54FDA3" w14:textId="25194F82"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.12</w:t>
            </w:r>
          </w:p>
        </w:tc>
        <w:tc>
          <w:tcPr>
            <w:tcW w:w="680" w:type="dxa"/>
            <w:shd w:val="clear" w:color="auto" w:fill="FFFFFF"/>
          </w:tcPr>
          <w:p w14:paraId="53931707" w14:textId="792D6938"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.05</w:t>
            </w:r>
          </w:p>
        </w:tc>
        <w:tc>
          <w:tcPr>
            <w:tcW w:w="680" w:type="dxa"/>
            <w:shd w:val="clear" w:color="auto" w:fill="FFFFFF"/>
          </w:tcPr>
          <w:p w14:paraId="4CE745F4" w14:textId="58E4017B"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-.02</w:t>
            </w:r>
          </w:p>
        </w:tc>
        <w:tc>
          <w:tcPr>
            <w:tcW w:w="680" w:type="dxa"/>
            <w:shd w:val="clear" w:color="auto" w:fill="FFFFFF"/>
          </w:tcPr>
          <w:p w14:paraId="6B917826" w14:textId="6E4BF0F7"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-.11</w:t>
            </w:r>
          </w:p>
        </w:tc>
        <w:tc>
          <w:tcPr>
            <w:tcW w:w="680" w:type="dxa"/>
            <w:shd w:val="clear" w:color="auto" w:fill="FFFFFF"/>
          </w:tcPr>
          <w:p w14:paraId="46BB2EE2" w14:textId="2E759849"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-.11</w:t>
            </w:r>
          </w:p>
        </w:tc>
        <w:tc>
          <w:tcPr>
            <w:tcW w:w="680" w:type="dxa"/>
            <w:shd w:val="clear" w:color="auto" w:fill="FFFFFF"/>
          </w:tcPr>
          <w:p w14:paraId="767445E4" w14:textId="52563F55"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-.26</w:t>
            </w:r>
          </w:p>
        </w:tc>
        <w:tc>
          <w:tcPr>
            <w:tcW w:w="680" w:type="dxa"/>
            <w:shd w:val="clear" w:color="auto" w:fill="FFFFFF"/>
          </w:tcPr>
          <w:p w14:paraId="6181FCF2" w14:textId="14010581" w:rsidR="009C76B8" w:rsidRPr="004D4C57" w:rsidRDefault="00C85188" w:rsidP="00DC0A86">
            <w:pPr>
              <w:widowControl w:val="0"/>
              <w:autoSpaceDE w:val="0"/>
              <w:autoSpaceDN w:val="0"/>
              <w:adjustRightInd w:val="0"/>
              <w:spacing w:before="60" w:after="60"/>
              <w:ind w:right="62"/>
              <w:jc w:val="center"/>
              <w:rPr>
                <w:color w:val="000000" w:themeColor="text1"/>
                <w:szCs w:val="24"/>
              </w:rPr>
            </w:pPr>
            <w:r w:rsidRPr="004D4C57">
              <w:rPr>
                <w:color w:val="000000" w:themeColor="text1"/>
                <w:szCs w:val="24"/>
              </w:rPr>
              <w:t>-.21</w:t>
            </w:r>
          </w:p>
        </w:tc>
      </w:tr>
      <w:tr w:rsidR="004D4C57" w:rsidRPr="004D4C57" w14:paraId="4C08329E" w14:textId="52D1BB49" w:rsidTr="00FD0380">
        <w:trPr>
          <w:cantSplit/>
          <w:tblHeader/>
        </w:trPr>
        <w:tc>
          <w:tcPr>
            <w:tcW w:w="3119" w:type="dxa"/>
            <w:shd w:val="clear" w:color="auto" w:fill="FFFFFF"/>
          </w:tcPr>
          <w:p w14:paraId="474B9129" w14:textId="3900D811" w:rsidR="009C76B8" w:rsidRPr="004D4C57" w:rsidRDefault="009C76B8" w:rsidP="00DC0A86">
            <w:pPr>
              <w:widowControl w:val="0"/>
              <w:autoSpaceDE w:val="0"/>
              <w:autoSpaceDN w:val="0"/>
              <w:adjustRightInd w:val="0"/>
              <w:spacing w:after="60"/>
              <w:ind w:left="60" w:right="60"/>
              <w:rPr>
                <w:color w:val="000000" w:themeColor="text1"/>
                <w:szCs w:val="24"/>
              </w:rPr>
            </w:pPr>
            <w:r w:rsidRPr="004D4C57">
              <w:rPr>
                <w:color w:val="000000" w:themeColor="text1"/>
                <w:szCs w:val="24"/>
              </w:rPr>
              <w:t>2. M2 Gender (female)</w:t>
            </w:r>
          </w:p>
        </w:tc>
        <w:tc>
          <w:tcPr>
            <w:tcW w:w="680" w:type="dxa"/>
            <w:shd w:val="clear" w:color="auto" w:fill="FFFFFF"/>
          </w:tcPr>
          <w:p w14:paraId="390CAC42" w14:textId="7831B36E"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.00</w:t>
            </w:r>
          </w:p>
        </w:tc>
        <w:tc>
          <w:tcPr>
            <w:tcW w:w="680" w:type="dxa"/>
            <w:shd w:val="clear" w:color="auto" w:fill="FFFFFF"/>
          </w:tcPr>
          <w:p w14:paraId="36393C10" w14:textId="48A10111"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p>
        </w:tc>
        <w:tc>
          <w:tcPr>
            <w:tcW w:w="680" w:type="dxa"/>
            <w:shd w:val="clear" w:color="auto" w:fill="FFFFFF"/>
          </w:tcPr>
          <w:p w14:paraId="4CC214B8" w14:textId="13ECA70A"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-.10</w:t>
            </w:r>
          </w:p>
        </w:tc>
        <w:tc>
          <w:tcPr>
            <w:tcW w:w="680" w:type="dxa"/>
            <w:shd w:val="clear" w:color="auto" w:fill="FFFFFF"/>
          </w:tcPr>
          <w:p w14:paraId="4CA1A7B1" w14:textId="2444B75A"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-.15</w:t>
            </w:r>
          </w:p>
        </w:tc>
        <w:tc>
          <w:tcPr>
            <w:tcW w:w="680" w:type="dxa"/>
            <w:shd w:val="clear" w:color="auto" w:fill="FFFFFF"/>
          </w:tcPr>
          <w:p w14:paraId="70AB0AC3" w14:textId="1EF43195"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-.09</w:t>
            </w:r>
          </w:p>
        </w:tc>
        <w:tc>
          <w:tcPr>
            <w:tcW w:w="680" w:type="dxa"/>
            <w:shd w:val="clear" w:color="auto" w:fill="FFFFFF"/>
          </w:tcPr>
          <w:p w14:paraId="6CC8D665" w14:textId="12192D0C"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.03</w:t>
            </w:r>
          </w:p>
        </w:tc>
        <w:tc>
          <w:tcPr>
            <w:tcW w:w="680" w:type="dxa"/>
            <w:shd w:val="clear" w:color="auto" w:fill="FFFFFF"/>
          </w:tcPr>
          <w:p w14:paraId="6FD5CEC2" w14:textId="5E2A74A4" w:rsidR="009C76B8" w:rsidRPr="004D4C57" w:rsidRDefault="00203FBA"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r w:rsidR="00C85188" w:rsidRPr="004D4C57">
              <w:rPr>
                <w:color w:val="000000" w:themeColor="text1"/>
                <w:szCs w:val="24"/>
              </w:rPr>
              <w:t>.02</w:t>
            </w:r>
          </w:p>
        </w:tc>
        <w:tc>
          <w:tcPr>
            <w:tcW w:w="680" w:type="dxa"/>
            <w:shd w:val="clear" w:color="auto" w:fill="FFFFFF"/>
          </w:tcPr>
          <w:p w14:paraId="7869E23B" w14:textId="4A95003A"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.19</w:t>
            </w:r>
          </w:p>
        </w:tc>
        <w:tc>
          <w:tcPr>
            <w:tcW w:w="680" w:type="dxa"/>
            <w:shd w:val="clear" w:color="auto" w:fill="FFFFFF"/>
          </w:tcPr>
          <w:p w14:paraId="05F200D8" w14:textId="2230A890"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.29</w:t>
            </w:r>
          </w:p>
        </w:tc>
        <w:tc>
          <w:tcPr>
            <w:tcW w:w="680" w:type="dxa"/>
            <w:shd w:val="clear" w:color="auto" w:fill="FFFFFF"/>
          </w:tcPr>
          <w:p w14:paraId="30170F53" w14:textId="16FA5691"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-.11</w:t>
            </w:r>
          </w:p>
        </w:tc>
        <w:tc>
          <w:tcPr>
            <w:tcW w:w="680" w:type="dxa"/>
            <w:shd w:val="clear" w:color="auto" w:fill="FFFFFF"/>
          </w:tcPr>
          <w:p w14:paraId="2A1ED3B6" w14:textId="124620B2"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.32</w:t>
            </w:r>
          </w:p>
        </w:tc>
        <w:tc>
          <w:tcPr>
            <w:tcW w:w="680" w:type="dxa"/>
            <w:shd w:val="clear" w:color="auto" w:fill="FFFFFF"/>
          </w:tcPr>
          <w:p w14:paraId="530AC486" w14:textId="3426AC82"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-.12</w:t>
            </w:r>
          </w:p>
        </w:tc>
      </w:tr>
      <w:tr w:rsidR="004D4C57" w:rsidRPr="004D4C57" w14:paraId="5725AF3B" w14:textId="5F221CD3" w:rsidTr="00FD0380">
        <w:trPr>
          <w:cantSplit/>
          <w:tblHeader/>
        </w:trPr>
        <w:tc>
          <w:tcPr>
            <w:tcW w:w="3119" w:type="dxa"/>
            <w:shd w:val="clear" w:color="auto" w:fill="FFFFFF"/>
          </w:tcPr>
          <w:p w14:paraId="718AB8BA" w14:textId="2CAAF6E2" w:rsidR="009C76B8" w:rsidRPr="004D4C57" w:rsidRDefault="009C76B8" w:rsidP="00DC0A86">
            <w:pPr>
              <w:widowControl w:val="0"/>
              <w:autoSpaceDE w:val="0"/>
              <w:autoSpaceDN w:val="0"/>
              <w:adjustRightInd w:val="0"/>
              <w:spacing w:after="60"/>
              <w:ind w:left="60" w:right="60"/>
              <w:rPr>
                <w:color w:val="000000" w:themeColor="text1"/>
                <w:szCs w:val="24"/>
              </w:rPr>
            </w:pPr>
            <w:r w:rsidRPr="004D4C57">
              <w:rPr>
                <w:color w:val="000000" w:themeColor="text1"/>
                <w:szCs w:val="24"/>
              </w:rPr>
              <w:t>3. M2 Education</w:t>
            </w:r>
          </w:p>
        </w:tc>
        <w:tc>
          <w:tcPr>
            <w:tcW w:w="680" w:type="dxa"/>
            <w:shd w:val="clear" w:color="auto" w:fill="FFFFFF"/>
          </w:tcPr>
          <w:p w14:paraId="71DDB5E6" w14:textId="303D904E"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-.05</w:t>
            </w:r>
          </w:p>
        </w:tc>
        <w:tc>
          <w:tcPr>
            <w:tcW w:w="680" w:type="dxa"/>
            <w:shd w:val="clear" w:color="auto" w:fill="FFFFFF"/>
          </w:tcPr>
          <w:p w14:paraId="61981BFC" w14:textId="1A309EE6"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-.11</w:t>
            </w:r>
          </w:p>
        </w:tc>
        <w:tc>
          <w:tcPr>
            <w:tcW w:w="680" w:type="dxa"/>
            <w:shd w:val="clear" w:color="auto" w:fill="FFFFFF"/>
          </w:tcPr>
          <w:p w14:paraId="23766DE3" w14:textId="63B2BEAB"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p>
        </w:tc>
        <w:tc>
          <w:tcPr>
            <w:tcW w:w="680" w:type="dxa"/>
            <w:shd w:val="clear" w:color="auto" w:fill="FFFFFF"/>
          </w:tcPr>
          <w:p w14:paraId="1162610E" w14:textId="12320BEB"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.23</w:t>
            </w:r>
          </w:p>
        </w:tc>
        <w:tc>
          <w:tcPr>
            <w:tcW w:w="680" w:type="dxa"/>
            <w:shd w:val="clear" w:color="auto" w:fill="FFFFFF"/>
          </w:tcPr>
          <w:p w14:paraId="0632036C" w14:textId="2165D5E0"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.36</w:t>
            </w:r>
          </w:p>
        </w:tc>
        <w:tc>
          <w:tcPr>
            <w:tcW w:w="680" w:type="dxa"/>
            <w:shd w:val="clear" w:color="auto" w:fill="FFFFFF"/>
          </w:tcPr>
          <w:p w14:paraId="47B9F597" w14:textId="7035795D"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.09</w:t>
            </w:r>
          </w:p>
        </w:tc>
        <w:tc>
          <w:tcPr>
            <w:tcW w:w="680" w:type="dxa"/>
            <w:shd w:val="clear" w:color="auto" w:fill="FFFFFF"/>
          </w:tcPr>
          <w:p w14:paraId="440F73E7" w14:textId="1DC9959E" w:rsidR="009C76B8" w:rsidRPr="004D4C57" w:rsidRDefault="00203FBA"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r w:rsidR="00C85188" w:rsidRPr="004D4C57">
              <w:rPr>
                <w:color w:val="000000" w:themeColor="text1"/>
                <w:szCs w:val="24"/>
              </w:rPr>
              <w:t>.02</w:t>
            </w:r>
          </w:p>
        </w:tc>
        <w:tc>
          <w:tcPr>
            <w:tcW w:w="680" w:type="dxa"/>
            <w:shd w:val="clear" w:color="auto" w:fill="FFFFFF"/>
          </w:tcPr>
          <w:p w14:paraId="1FDE3ACA" w14:textId="2E82077E"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-.18</w:t>
            </w:r>
          </w:p>
        </w:tc>
        <w:tc>
          <w:tcPr>
            <w:tcW w:w="680" w:type="dxa"/>
            <w:shd w:val="clear" w:color="auto" w:fill="FFFFFF"/>
          </w:tcPr>
          <w:p w14:paraId="37D320FD" w14:textId="3BF9BC19"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.18</w:t>
            </w:r>
          </w:p>
        </w:tc>
        <w:tc>
          <w:tcPr>
            <w:tcW w:w="680" w:type="dxa"/>
            <w:shd w:val="clear" w:color="auto" w:fill="FFFFFF"/>
          </w:tcPr>
          <w:p w14:paraId="39A56AA5" w14:textId="59D391E1"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.27</w:t>
            </w:r>
          </w:p>
        </w:tc>
        <w:tc>
          <w:tcPr>
            <w:tcW w:w="680" w:type="dxa"/>
            <w:shd w:val="clear" w:color="auto" w:fill="FFFFFF"/>
          </w:tcPr>
          <w:p w14:paraId="00E2AC92" w14:textId="64BA689F"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.11</w:t>
            </w:r>
          </w:p>
        </w:tc>
        <w:tc>
          <w:tcPr>
            <w:tcW w:w="680" w:type="dxa"/>
            <w:shd w:val="clear" w:color="auto" w:fill="FFFFFF"/>
          </w:tcPr>
          <w:p w14:paraId="3AB8A3D1" w14:textId="3DE28B7A"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.26</w:t>
            </w:r>
          </w:p>
        </w:tc>
      </w:tr>
      <w:tr w:rsidR="004D4C57" w:rsidRPr="004D4C57" w14:paraId="0B47FA57" w14:textId="5871689C" w:rsidTr="00FD0380">
        <w:trPr>
          <w:cantSplit/>
          <w:tblHeader/>
        </w:trPr>
        <w:tc>
          <w:tcPr>
            <w:tcW w:w="3119" w:type="dxa"/>
            <w:shd w:val="clear" w:color="auto" w:fill="FFFFFF"/>
          </w:tcPr>
          <w:p w14:paraId="5BC061A5" w14:textId="56DCD5E3" w:rsidR="009C76B8" w:rsidRPr="004D4C57" w:rsidRDefault="009C76B8" w:rsidP="00DC0A86">
            <w:pPr>
              <w:widowControl w:val="0"/>
              <w:autoSpaceDE w:val="0"/>
              <w:autoSpaceDN w:val="0"/>
              <w:adjustRightInd w:val="0"/>
              <w:spacing w:after="60"/>
              <w:ind w:left="60" w:right="60"/>
              <w:rPr>
                <w:color w:val="000000" w:themeColor="text1"/>
                <w:szCs w:val="24"/>
              </w:rPr>
            </w:pPr>
            <w:r w:rsidRPr="004D4C57">
              <w:rPr>
                <w:color w:val="000000" w:themeColor="text1"/>
                <w:szCs w:val="24"/>
              </w:rPr>
              <w:t>4. M2 Income</w:t>
            </w:r>
          </w:p>
        </w:tc>
        <w:tc>
          <w:tcPr>
            <w:tcW w:w="680" w:type="dxa"/>
            <w:shd w:val="clear" w:color="auto" w:fill="FFFFFF"/>
          </w:tcPr>
          <w:p w14:paraId="7E6ED067" w14:textId="62DCA7DE"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-.09</w:t>
            </w:r>
          </w:p>
        </w:tc>
        <w:tc>
          <w:tcPr>
            <w:tcW w:w="680" w:type="dxa"/>
            <w:shd w:val="clear" w:color="auto" w:fill="FFFFFF"/>
          </w:tcPr>
          <w:p w14:paraId="7C3DFAF9" w14:textId="47CB2912"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-.16</w:t>
            </w:r>
          </w:p>
        </w:tc>
        <w:tc>
          <w:tcPr>
            <w:tcW w:w="680" w:type="dxa"/>
            <w:shd w:val="clear" w:color="auto" w:fill="FFFFFF"/>
          </w:tcPr>
          <w:p w14:paraId="70D21086" w14:textId="3251E6C2"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.22</w:t>
            </w:r>
          </w:p>
        </w:tc>
        <w:tc>
          <w:tcPr>
            <w:tcW w:w="680" w:type="dxa"/>
            <w:shd w:val="clear" w:color="auto" w:fill="FFFFFF"/>
          </w:tcPr>
          <w:p w14:paraId="45D0DE70" w14:textId="5B4989A0"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p>
        </w:tc>
        <w:tc>
          <w:tcPr>
            <w:tcW w:w="680" w:type="dxa"/>
            <w:shd w:val="clear" w:color="auto" w:fill="FFFFFF"/>
          </w:tcPr>
          <w:p w14:paraId="78F24EF8" w14:textId="3DF90F74"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.31</w:t>
            </w:r>
          </w:p>
        </w:tc>
        <w:tc>
          <w:tcPr>
            <w:tcW w:w="680" w:type="dxa"/>
            <w:shd w:val="clear" w:color="auto" w:fill="FFFFFF"/>
          </w:tcPr>
          <w:p w14:paraId="02CC6999" w14:textId="6C3F6FD9"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.02</w:t>
            </w:r>
          </w:p>
        </w:tc>
        <w:tc>
          <w:tcPr>
            <w:tcW w:w="680" w:type="dxa"/>
            <w:shd w:val="clear" w:color="auto" w:fill="FFFFFF"/>
          </w:tcPr>
          <w:p w14:paraId="76FBBC77" w14:textId="597D804D" w:rsidR="009C76B8" w:rsidRPr="004D4C57" w:rsidRDefault="00203FBA"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r w:rsidR="00C85188" w:rsidRPr="004D4C57">
              <w:rPr>
                <w:color w:val="000000" w:themeColor="text1"/>
                <w:szCs w:val="24"/>
              </w:rPr>
              <w:t>.02</w:t>
            </w:r>
          </w:p>
        </w:tc>
        <w:tc>
          <w:tcPr>
            <w:tcW w:w="680" w:type="dxa"/>
            <w:shd w:val="clear" w:color="auto" w:fill="FFFFFF"/>
          </w:tcPr>
          <w:p w14:paraId="327A0FAE" w14:textId="1A214F23"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-.07</w:t>
            </w:r>
          </w:p>
        </w:tc>
        <w:tc>
          <w:tcPr>
            <w:tcW w:w="680" w:type="dxa"/>
            <w:shd w:val="clear" w:color="auto" w:fill="FFFFFF"/>
          </w:tcPr>
          <w:p w14:paraId="2B7E101C" w14:textId="469E2523" w:rsidR="009C76B8" w:rsidRPr="004D4C57" w:rsidRDefault="00C8518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.04</w:t>
            </w:r>
          </w:p>
        </w:tc>
        <w:tc>
          <w:tcPr>
            <w:tcW w:w="680" w:type="dxa"/>
            <w:shd w:val="clear" w:color="auto" w:fill="FFFFFF"/>
          </w:tcPr>
          <w:p w14:paraId="1E3CC10A" w14:textId="6EEFDAE2" w:rsidR="009C76B8" w:rsidRPr="004D4C57" w:rsidRDefault="00836760"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.24</w:t>
            </w:r>
          </w:p>
        </w:tc>
        <w:tc>
          <w:tcPr>
            <w:tcW w:w="680" w:type="dxa"/>
            <w:shd w:val="clear" w:color="auto" w:fill="FFFFFF"/>
          </w:tcPr>
          <w:p w14:paraId="24439998" w14:textId="2C1962A4" w:rsidR="009C76B8" w:rsidRPr="004D4C57" w:rsidRDefault="00362661"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.09</w:t>
            </w:r>
          </w:p>
        </w:tc>
        <w:tc>
          <w:tcPr>
            <w:tcW w:w="680" w:type="dxa"/>
            <w:shd w:val="clear" w:color="auto" w:fill="FFFFFF"/>
          </w:tcPr>
          <w:p w14:paraId="11C700CA" w14:textId="321C238E" w:rsidR="009C76B8" w:rsidRPr="004D4C57" w:rsidRDefault="00362661"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.21</w:t>
            </w:r>
          </w:p>
        </w:tc>
      </w:tr>
      <w:tr w:rsidR="004D4C57" w:rsidRPr="004D4C57" w14:paraId="2CC08FF2" w14:textId="1A76103D" w:rsidTr="00FD0380">
        <w:trPr>
          <w:cantSplit/>
          <w:tblHeader/>
        </w:trPr>
        <w:tc>
          <w:tcPr>
            <w:tcW w:w="3119" w:type="dxa"/>
            <w:shd w:val="clear" w:color="auto" w:fill="FFFFFF"/>
          </w:tcPr>
          <w:p w14:paraId="635B8317" w14:textId="6FC3F333" w:rsidR="009C76B8" w:rsidRPr="004D4C57" w:rsidRDefault="009C76B8" w:rsidP="00DC0A86">
            <w:pPr>
              <w:widowControl w:val="0"/>
              <w:autoSpaceDE w:val="0"/>
              <w:autoSpaceDN w:val="0"/>
              <w:adjustRightInd w:val="0"/>
              <w:spacing w:after="60"/>
              <w:ind w:left="60" w:right="60"/>
              <w:rPr>
                <w:color w:val="000000" w:themeColor="text1"/>
                <w:szCs w:val="24"/>
              </w:rPr>
            </w:pPr>
            <w:r w:rsidRPr="004D4C57">
              <w:rPr>
                <w:color w:val="000000" w:themeColor="text1"/>
                <w:szCs w:val="24"/>
              </w:rPr>
              <w:t>5. M2 Occupation</w:t>
            </w:r>
          </w:p>
        </w:tc>
        <w:tc>
          <w:tcPr>
            <w:tcW w:w="680" w:type="dxa"/>
            <w:shd w:val="clear" w:color="auto" w:fill="FFFFFF"/>
          </w:tcPr>
          <w:p w14:paraId="48C0FEFE" w14:textId="4C076B73"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-.04</w:t>
            </w:r>
          </w:p>
        </w:tc>
        <w:tc>
          <w:tcPr>
            <w:tcW w:w="680" w:type="dxa"/>
            <w:shd w:val="clear" w:color="auto" w:fill="FFFFFF"/>
          </w:tcPr>
          <w:p w14:paraId="2F0336DB" w14:textId="607C3CE8"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-.09</w:t>
            </w:r>
          </w:p>
        </w:tc>
        <w:tc>
          <w:tcPr>
            <w:tcW w:w="680" w:type="dxa"/>
            <w:shd w:val="clear" w:color="auto" w:fill="FFFFFF"/>
          </w:tcPr>
          <w:p w14:paraId="295C4E92" w14:textId="66955330"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.34</w:t>
            </w:r>
          </w:p>
        </w:tc>
        <w:tc>
          <w:tcPr>
            <w:tcW w:w="680" w:type="dxa"/>
            <w:shd w:val="clear" w:color="auto" w:fill="FFFFFF"/>
          </w:tcPr>
          <w:p w14:paraId="553EF6CD" w14:textId="2B9A44D8"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.31</w:t>
            </w:r>
          </w:p>
        </w:tc>
        <w:tc>
          <w:tcPr>
            <w:tcW w:w="680" w:type="dxa"/>
            <w:shd w:val="clear" w:color="auto" w:fill="FFFFFF"/>
          </w:tcPr>
          <w:p w14:paraId="6B8F066A" w14:textId="2F31A15B"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p>
        </w:tc>
        <w:tc>
          <w:tcPr>
            <w:tcW w:w="680" w:type="dxa"/>
            <w:shd w:val="clear" w:color="auto" w:fill="FFFFFF"/>
          </w:tcPr>
          <w:p w14:paraId="68F5F895" w14:textId="0EAE2F25" w:rsidR="009C76B8" w:rsidRPr="004D4C57" w:rsidRDefault="000E530F"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.00</w:t>
            </w:r>
          </w:p>
        </w:tc>
        <w:tc>
          <w:tcPr>
            <w:tcW w:w="680" w:type="dxa"/>
            <w:shd w:val="clear" w:color="auto" w:fill="FFFFFF"/>
          </w:tcPr>
          <w:p w14:paraId="3F4E5182" w14:textId="3EAFE2C3" w:rsidR="009C76B8" w:rsidRPr="004D4C57" w:rsidRDefault="00203FBA"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r w:rsidR="000E530F" w:rsidRPr="004D4C57">
              <w:rPr>
                <w:color w:val="000000" w:themeColor="text1"/>
                <w:szCs w:val="24"/>
              </w:rPr>
              <w:t>.01</w:t>
            </w:r>
          </w:p>
        </w:tc>
        <w:tc>
          <w:tcPr>
            <w:tcW w:w="680" w:type="dxa"/>
            <w:shd w:val="clear" w:color="auto" w:fill="FFFFFF"/>
          </w:tcPr>
          <w:p w14:paraId="3A99B8DA" w14:textId="782E5CB3" w:rsidR="009C76B8" w:rsidRPr="004D4C57" w:rsidRDefault="000E530F"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-.17</w:t>
            </w:r>
          </w:p>
        </w:tc>
        <w:tc>
          <w:tcPr>
            <w:tcW w:w="680" w:type="dxa"/>
            <w:shd w:val="clear" w:color="auto" w:fill="FFFFFF"/>
          </w:tcPr>
          <w:p w14:paraId="00AE98AD" w14:textId="47FB6F8A" w:rsidR="009C76B8" w:rsidRPr="004D4C57" w:rsidRDefault="000E530F"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.10</w:t>
            </w:r>
          </w:p>
        </w:tc>
        <w:tc>
          <w:tcPr>
            <w:tcW w:w="680" w:type="dxa"/>
            <w:shd w:val="clear" w:color="auto" w:fill="FFFFFF"/>
          </w:tcPr>
          <w:p w14:paraId="4523C4FE" w14:textId="6C1BB36A" w:rsidR="009C76B8" w:rsidRPr="004D4C57" w:rsidRDefault="000E530F"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.31</w:t>
            </w:r>
          </w:p>
        </w:tc>
        <w:tc>
          <w:tcPr>
            <w:tcW w:w="680" w:type="dxa"/>
            <w:shd w:val="clear" w:color="auto" w:fill="FFFFFF"/>
          </w:tcPr>
          <w:p w14:paraId="77A500B6" w14:textId="3CF212DA" w:rsidR="009C76B8" w:rsidRPr="004D4C57" w:rsidRDefault="000E530F"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.05</w:t>
            </w:r>
          </w:p>
        </w:tc>
        <w:tc>
          <w:tcPr>
            <w:tcW w:w="680" w:type="dxa"/>
            <w:shd w:val="clear" w:color="auto" w:fill="FFFFFF"/>
          </w:tcPr>
          <w:p w14:paraId="3E59B93F" w14:textId="5FB4599A" w:rsidR="009C76B8" w:rsidRPr="004D4C57" w:rsidRDefault="000E530F"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.28</w:t>
            </w:r>
          </w:p>
        </w:tc>
      </w:tr>
      <w:tr w:rsidR="004D4C57" w:rsidRPr="004D4C57" w14:paraId="0F13EAAA" w14:textId="13246B80" w:rsidTr="00FD0380">
        <w:trPr>
          <w:cantSplit/>
          <w:tblHeader/>
        </w:trPr>
        <w:tc>
          <w:tcPr>
            <w:tcW w:w="3119" w:type="dxa"/>
            <w:shd w:val="clear" w:color="auto" w:fill="FFFFFF"/>
          </w:tcPr>
          <w:p w14:paraId="725EEFC8" w14:textId="43E2CFBB" w:rsidR="009C76B8" w:rsidRPr="004D4C57" w:rsidRDefault="009C76B8" w:rsidP="00DC0A86">
            <w:pPr>
              <w:widowControl w:val="0"/>
              <w:autoSpaceDE w:val="0"/>
              <w:autoSpaceDN w:val="0"/>
              <w:adjustRightInd w:val="0"/>
              <w:spacing w:after="60"/>
              <w:ind w:left="60" w:right="60"/>
              <w:rPr>
                <w:color w:val="000000" w:themeColor="text1"/>
                <w:szCs w:val="24"/>
              </w:rPr>
            </w:pPr>
            <w:r w:rsidRPr="004D4C57">
              <w:rPr>
                <w:color w:val="000000" w:themeColor="text1"/>
                <w:szCs w:val="24"/>
              </w:rPr>
              <w:t>6. M2 Health status</w:t>
            </w:r>
          </w:p>
        </w:tc>
        <w:tc>
          <w:tcPr>
            <w:tcW w:w="680" w:type="dxa"/>
            <w:shd w:val="clear" w:color="auto" w:fill="FFFFFF"/>
          </w:tcPr>
          <w:p w14:paraId="3F21C6B0" w14:textId="27B3A831"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.05</w:t>
            </w:r>
          </w:p>
        </w:tc>
        <w:tc>
          <w:tcPr>
            <w:tcW w:w="680" w:type="dxa"/>
            <w:shd w:val="clear" w:color="auto" w:fill="FFFFFF"/>
          </w:tcPr>
          <w:p w14:paraId="0DD031AC" w14:textId="454B2784"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-.01</w:t>
            </w:r>
          </w:p>
        </w:tc>
        <w:tc>
          <w:tcPr>
            <w:tcW w:w="680" w:type="dxa"/>
            <w:shd w:val="clear" w:color="auto" w:fill="FFFFFF"/>
          </w:tcPr>
          <w:p w14:paraId="070E3DE6" w14:textId="520FCB2C"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.12</w:t>
            </w:r>
          </w:p>
        </w:tc>
        <w:tc>
          <w:tcPr>
            <w:tcW w:w="680" w:type="dxa"/>
            <w:shd w:val="clear" w:color="auto" w:fill="FFFFFF"/>
          </w:tcPr>
          <w:p w14:paraId="48694CB0" w14:textId="04201702"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.03</w:t>
            </w:r>
          </w:p>
        </w:tc>
        <w:tc>
          <w:tcPr>
            <w:tcW w:w="680" w:type="dxa"/>
            <w:shd w:val="clear" w:color="auto" w:fill="FFFFFF"/>
          </w:tcPr>
          <w:p w14:paraId="0AAFD541" w14:textId="35B07524"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-.02</w:t>
            </w:r>
          </w:p>
        </w:tc>
        <w:tc>
          <w:tcPr>
            <w:tcW w:w="680" w:type="dxa"/>
            <w:shd w:val="clear" w:color="auto" w:fill="FFFFFF"/>
          </w:tcPr>
          <w:p w14:paraId="1694E5DF" w14:textId="1E07FEEC" w:rsidR="009C76B8" w:rsidRPr="004D4C57" w:rsidRDefault="009C76B8"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p>
        </w:tc>
        <w:tc>
          <w:tcPr>
            <w:tcW w:w="680" w:type="dxa"/>
            <w:shd w:val="clear" w:color="auto" w:fill="FFFFFF"/>
          </w:tcPr>
          <w:p w14:paraId="69436BE2" w14:textId="7C9B360B" w:rsidR="009C76B8" w:rsidRPr="004D4C57" w:rsidRDefault="00203FBA"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w:t>
            </w:r>
            <w:r w:rsidR="00CF07E2" w:rsidRPr="004D4C57">
              <w:rPr>
                <w:color w:val="000000" w:themeColor="text1"/>
                <w:szCs w:val="24"/>
              </w:rPr>
              <w:t>.01</w:t>
            </w:r>
          </w:p>
        </w:tc>
        <w:tc>
          <w:tcPr>
            <w:tcW w:w="680" w:type="dxa"/>
            <w:shd w:val="clear" w:color="auto" w:fill="FFFFFF"/>
          </w:tcPr>
          <w:p w14:paraId="5A8EAF11" w14:textId="0C65C402" w:rsidR="009C76B8" w:rsidRPr="004D4C57" w:rsidRDefault="00CF07E2"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.00</w:t>
            </w:r>
          </w:p>
        </w:tc>
        <w:tc>
          <w:tcPr>
            <w:tcW w:w="680" w:type="dxa"/>
            <w:shd w:val="clear" w:color="auto" w:fill="FFFFFF"/>
          </w:tcPr>
          <w:p w14:paraId="3C992DE4" w14:textId="1E2C0878" w:rsidR="009C76B8" w:rsidRPr="004D4C57" w:rsidRDefault="00CF07E2"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.08</w:t>
            </w:r>
          </w:p>
        </w:tc>
        <w:tc>
          <w:tcPr>
            <w:tcW w:w="680" w:type="dxa"/>
            <w:shd w:val="clear" w:color="auto" w:fill="FFFFFF"/>
          </w:tcPr>
          <w:p w14:paraId="5B825799" w14:textId="66D47894" w:rsidR="009C76B8" w:rsidRPr="004D4C57" w:rsidRDefault="00CF07E2"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.02</w:t>
            </w:r>
          </w:p>
        </w:tc>
        <w:tc>
          <w:tcPr>
            <w:tcW w:w="680" w:type="dxa"/>
            <w:shd w:val="clear" w:color="auto" w:fill="FFFFFF"/>
          </w:tcPr>
          <w:p w14:paraId="43A4D5FE" w14:textId="13CAB65C" w:rsidR="009C76B8" w:rsidRPr="004D4C57" w:rsidRDefault="00CF07E2"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.04</w:t>
            </w:r>
          </w:p>
        </w:tc>
        <w:tc>
          <w:tcPr>
            <w:tcW w:w="680" w:type="dxa"/>
            <w:shd w:val="clear" w:color="auto" w:fill="FFFFFF"/>
          </w:tcPr>
          <w:p w14:paraId="773CB728" w14:textId="2DF23840" w:rsidR="009C76B8" w:rsidRPr="004D4C57" w:rsidRDefault="00CF07E2" w:rsidP="00DC0A86">
            <w:pPr>
              <w:widowControl w:val="0"/>
              <w:autoSpaceDE w:val="0"/>
              <w:autoSpaceDN w:val="0"/>
              <w:adjustRightInd w:val="0"/>
              <w:spacing w:after="60"/>
              <w:ind w:right="60"/>
              <w:jc w:val="center"/>
              <w:rPr>
                <w:color w:val="000000" w:themeColor="text1"/>
                <w:szCs w:val="24"/>
              </w:rPr>
            </w:pPr>
            <w:r w:rsidRPr="004D4C57">
              <w:rPr>
                <w:color w:val="000000" w:themeColor="text1"/>
                <w:szCs w:val="24"/>
              </w:rPr>
              <w:t>.00</w:t>
            </w:r>
          </w:p>
        </w:tc>
      </w:tr>
      <w:tr w:rsidR="004D4C57" w:rsidRPr="004D4C57" w14:paraId="7DC736EC" w14:textId="6F4B796E" w:rsidTr="00FD0380">
        <w:trPr>
          <w:cantSplit/>
          <w:tblHeader/>
        </w:trPr>
        <w:tc>
          <w:tcPr>
            <w:tcW w:w="3119" w:type="dxa"/>
            <w:shd w:val="clear" w:color="auto" w:fill="FFFFFF"/>
          </w:tcPr>
          <w:p w14:paraId="0A1E3F59" w14:textId="0CE18E3B" w:rsidR="009C76B8" w:rsidRPr="004D4C57" w:rsidRDefault="009C76B8" w:rsidP="00DC0A86">
            <w:pPr>
              <w:widowControl w:val="0"/>
              <w:autoSpaceDE w:val="0"/>
              <w:autoSpaceDN w:val="0"/>
              <w:adjustRightInd w:val="0"/>
              <w:spacing w:after="60"/>
              <w:ind w:left="62" w:right="62"/>
              <w:rPr>
                <w:color w:val="000000" w:themeColor="text1"/>
                <w:szCs w:val="24"/>
              </w:rPr>
            </w:pPr>
            <w:r w:rsidRPr="004D4C57">
              <w:rPr>
                <w:color w:val="000000" w:themeColor="text1"/>
                <w:szCs w:val="24"/>
              </w:rPr>
              <w:t xml:space="preserve">7. M2-M3 Retirement status </w:t>
            </w:r>
          </w:p>
        </w:tc>
        <w:tc>
          <w:tcPr>
            <w:tcW w:w="680" w:type="dxa"/>
            <w:shd w:val="clear" w:color="auto" w:fill="FFFFFF"/>
          </w:tcPr>
          <w:p w14:paraId="4570E6AA" w14:textId="02093992"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.29</w:t>
            </w:r>
          </w:p>
        </w:tc>
        <w:tc>
          <w:tcPr>
            <w:tcW w:w="680" w:type="dxa"/>
            <w:shd w:val="clear" w:color="auto" w:fill="FFFFFF"/>
          </w:tcPr>
          <w:p w14:paraId="174DDD7B" w14:textId="36F23F1A"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.07</w:t>
            </w:r>
          </w:p>
        </w:tc>
        <w:tc>
          <w:tcPr>
            <w:tcW w:w="680" w:type="dxa"/>
            <w:shd w:val="clear" w:color="auto" w:fill="FFFFFF"/>
          </w:tcPr>
          <w:p w14:paraId="2136635E" w14:textId="066B909C"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9C76B8" w:rsidRPr="004D4C57">
              <w:rPr>
                <w:color w:val="000000" w:themeColor="text1"/>
                <w:szCs w:val="24"/>
              </w:rPr>
              <w:t>.10</w:t>
            </w:r>
          </w:p>
        </w:tc>
        <w:tc>
          <w:tcPr>
            <w:tcW w:w="680" w:type="dxa"/>
            <w:shd w:val="clear" w:color="auto" w:fill="FFFFFF"/>
          </w:tcPr>
          <w:p w14:paraId="3E8EE304" w14:textId="679751B7"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9C76B8" w:rsidRPr="004D4C57">
              <w:rPr>
                <w:color w:val="000000" w:themeColor="text1"/>
                <w:szCs w:val="24"/>
              </w:rPr>
              <w:t>.06</w:t>
            </w:r>
          </w:p>
        </w:tc>
        <w:tc>
          <w:tcPr>
            <w:tcW w:w="680" w:type="dxa"/>
            <w:shd w:val="clear" w:color="auto" w:fill="FFFFFF"/>
          </w:tcPr>
          <w:p w14:paraId="0AA7F071" w14:textId="3326B74B"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9C76B8" w:rsidRPr="004D4C57">
              <w:rPr>
                <w:color w:val="000000" w:themeColor="text1"/>
                <w:szCs w:val="24"/>
              </w:rPr>
              <w:t>.07</w:t>
            </w:r>
          </w:p>
        </w:tc>
        <w:tc>
          <w:tcPr>
            <w:tcW w:w="680" w:type="dxa"/>
            <w:shd w:val="clear" w:color="auto" w:fill="FFFFFF"/>
          </w:tcPr>
          <w:p w14:paraId="67BFC650" w14:textId="6F527B9B"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9C76B8" w:rsidRPr="004D4C57">
              <w:rPr>
                <w:color w:val="000000" w:themeColor="text1"/>
                <w:szCs w:val="24"/>
              </w:rPr>
              <w:t>.07</w:t>
            </w:r>
          </w:p>
        </w:tc>
        <w:tc>
          <w:tcPr>
            <w:tcW w:w="680" w:type="dxa"/>
            <w:shd w:val="clear" w:color="auto" w:fill="FFFFFF"/>
          </w:tcPr>
          <w:p w14:paraId="4327CBCC" w14:textId="33CB5590"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shd w:val="clear" w:color="auto" w:fill="FFFFFF"/>
          </w:tcPr>
          <w:p w14:paraId="68C217B1" w14:textId="17CD1438" w:rsidR="009C76B8" w:rsidRPr="004D4C57" w:rsidRDefault="006B6E97"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.05</w:t>
            </w:r>
          </w:p>
        </w:tc>
        <w:tc>
          <w:tcPr>
            <w:tcW w:w="680" w:type="dxa"/>
            <w:shd w:val="clear" w:color="auto" w:fill="FFFFFF"/>
          </w:tcPr>
          <w:p w14:paraId="059A5EC5" w14:textId="318D5DC5"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6B6E97" w:rsidRPr="004D4C57">
              <w:rPr>
                <w:color w:val="000000" w:themeColor="text1"/>
                <w:szCs w:val="24"/>
              </w:rPr>
              <w:t>.05</w:t>
            </w:r>
          </w:p>
        </w:tc>
        <w:tc>
          <w:tcPr>
            <w:tcW w:w="680" w:type="dxa"/>
            <w:shd w:val="clear" w:color="auto" w:fill="FFFFFF"/>
          </w:tcPr>
          <w:p w14:paraId="0E32663D" w14:textId="1753159A"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6B6E97" w:rsidRPr="004D4C57">
              <w:rPr>
                <w:color w:val="000000" w:themeColor="text1"/>
                <w:szCs w:val="24"/>
              </w:rPr>
              <w:t>.07</w:t>
            </w:r>
          </w:p>
        </w:tc>
        <w:tc>
          <w:tcPr>
            <w:tcW w:w="680" w:type="dxa"/>
            <w:shd w:val="clear" w:color="auto" w:fill="FFFFFF"/>
          </w:tcPr>
          <w:p w14:paraId="26290104" w14:textId="69706FE9"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6B6E97" w:rsidRPr="004D4C57">
              <w:rPr>
                <w:color w:val="000000" w:themeColor="text1"/>
                <w:szCs w:val="24"/>
              </w:rPr>
              <w:t>.07</w:t>
            </w:r>
          </w:p>
        </w:tc>
        <w:tc>
          <w:tcPr>
            <w:tcW w:w="680" w:type="dxa"/>
            <w:shd w:val="clear" w:color="auto" w:fill="FFFFFF"/>
          </w:tcPr>
          <w:p w14:paraId="3D7E7390" w14:textId="19823BFA"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6B6E97" w:rsidRPr="004D4C57">
              <w:rPr>
                <w:color w:val="000000" w:themeColor="text1"/>
                <w:szCs w:val="24"/>
              </w:rPr>
              <w:t>.08</w:t>
            </w:r>
          </w:p>
        </w:tc>
      </w:tr>
      <w:tr w:rsidR="004D4C57" w:rsidRPr="004D4C57" w14:paraId="030780A4" w14:textId="372425DE" w:rsidTr="00FD0380">
        <w:trPr>
          <w:cantSplit/>
          <w:tblHeader/>
        </w:trPr>
        <w:tc>
          <w:tcPr>
            <w:tcW w:w="3119" w:type="dxa"/>
            <w:shd w:val="clear" w:color="auto" w:fill="FFFFFF"/>
          </w:tcPr>
          <w:p w14:paraId="137343B6" w14:textId="7576DEBB" w:rsidR="009C76B8" w:rsidRPr="004D4C57" w:rsidRDefault="009C76B8" w:rsidP="00DC0A86">
            <w:pPr>
              <w:widowControl w:val="0"/>
              <w:autoSpaceDE w:val="0"/>
              <w:autoSpaceDN w:val="0"/>
              <w:adjustRightInd w:val="0"/>
              <w:spacing w:after="60"/>
              <w:ind w:left="62" w:right="62"/>
              <w:rPr>
                <w:color w:val="000000" w:themeColor="text1"/>
                <w:szCs w:val="24"/>
              </w:rPr>
            </w:pPr>
            <w:r w:rsidRPr="004D4C57">
              <w:rPr>
                <w:color w:val="000000" w:themeColor="text1"/>
                <w:szCs w:val="24"/>
              </w:rPr>
              <w:t>8. M2 Goal disengagement</w:t>
            </w:r>
          </w:p>
        </w:tc>
        <w:tc>
          <w:tcPr>
            <w:tcW w:w="680" w:type="dxa"/>
            <w:shd w:val="clear" w:color="auto" w:fill="FFFFFF"/>
          </w:tcPr>
          <w:p w14:paraId="47F9553D" w14:textId="49E7E85A"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-.02</w:t>
            </w:r>
          </w:p>
        </w:tc>
        <w:tc>
          <w:tcPr>
            <w:tcW w:w="680" w:type="dxa"/>
            <w:shd w:val="clear" w:color="auto" w:fill="FFFFFF"/>
          </w:tcPr>
          <w:p w14:paraId="4347E0DF" w14:textId="4E628162"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.17</w:t>
            </w:r>
          </w:p>
        </w:tc>
        <w:tc>
          <w:tcPr>
            <w:tcW w:w="680" w:type="dxa"/>
            <w:shd w:val="clear" w:color="auto" w:fill="FFFFFF"/>
          </w:tcPr>
          <w:p w14:paraId="378AB171" w14:textId="58804631"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-.13</w:t>
            </w:r>
          </w:p>
        </w:tc>
        <w:tc>
          <w:tcPr>
            <w:tcW w:w="680" w:type="dxa"/>
            <w:shd w:val="clear" w:color="auto" w:fill="FFFFFF"/>
          </w:tcPr>
          <w:p w14:paraId="5EC5FB24" w14:textId="041761A4"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-.06</w:t>
            </w:r>
          </w:p>
        </w:tc>
        <w:tc>
          <w:tcPr>
            <w:tcW w:w="680" w:type="dxa"/>
            <w:shd w:val="clear" w:color="auto" w:fill="FFFFFF"/>
          </w:tcPr>
          <w:p w14:paraId="6C406BAB" w14:textId="6DDF403C"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-.10</w:t>
            </w:r>
          </w:p>
        </w:tc>
        <w:tc>
          <w:tcPr>
            <w:tcW w:w="680" w:type="dxa"/>
            <w:shd w:val="clear" w:color="auto" w:fill="FFFFFF"/>
          </w:tcPr>
          <w:p w14:paraId="7E6F65EB" w14:textId="4729D0E0"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-.05</w:t>
            </w:r>
          </w:p>
        </w:tc>
        <w:tc>
          <w:tcPr>
            <w:tcW w:w="680" w:type="dxa"/>
            <w:shd w:val="clear" w:color="auto" w:fill="FFFFFF"/>
          </w:tcPr>
          <w:p w14:paraId="12A5F0AB" w14:textId="17A508F2"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.04</w:t>
            </w:r>
          </w:p>
        </w:tc>
        <w:tc>
          <w:tcPr>
            <w:tcW w:w="680" w:type="dxa"/>
            <w:shd w:val="clear" w:color="auto" w:fill="FFFFFF"/>
          </w:tcPr>
          <w:p w14:paraId="030E9330" w14:textId="2CBC46AA"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shd w:val="clear" w:color="auto" w:fill="FFFFFF"/>
          </w:tcPr>
          <w:p w14:paraId="38BEDE44" w14:textId="6987E7F1" w:rsidR="009C76B8" w:rsidRPr="004D4C57" w:rsidRDefault="004E7C17"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.01</w:t>
            </w:r>
          </w:p>
        </w:tc>
        <w:tc>
          <w:tcPr>
            <w:tcW w:w="680" w:type="dxa"/>
            <w:shd w:val="clear" w:color="auto" w:fill="FFFFFF"/>
          </w:tcPr>
          <w:p w14:paraId="0D6196C5" w14:textId="37C88BA6" w:rsidR="009C76B8" w:rsidRPr="004D4C57" w:rsidRDefault="004E7C17"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-.09</w:t>
            </w:r>
          </w:p>
        </w:tc>
        <w:tc>
          <w:tcPr>
            <w:tcW w:w="680" w:type="dxa"/>
            <w:shd w:val="clear" w:color="auto" w:fill="FFFFFF"/>
          </w:tcPr>
          <w:p w14:paraId="36F57EA0" w14:textId="7092D7EB" w:rsidR="009C76B8" w:rsidRPr="004D4C57" w:rsidRDefault="004E7C17"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-.03</w:t>
            </w:r>
          </w:p>
        </w:tc>
        <w:tc>
          <w:tcPr>
            <w:tcW w:w="680" w:type="dxa"/>
            <w:shd w:val="clear" w:color="auto" w:fill="FFFFFF"/>
          </w:tcPr>
          <w:p w14:paraId="00CD853A" w14:textId="3A935FCA" w:rsidR="009C76B8" w:rsidRPr="004D4C57" w:rsidRDefault="004E7C17"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-.10</w:t>
            </w:r>
          </w:p>
        </w:tc>
      </w:tr>
      <w:tr w:rsidR="004D4C57" w:rsidRPr="004D4C57" w14:paraId="52980F56" w14:textId="4E7AD0BA" w:rsidTr="00FD0380">
        <w:trPr>
          <w:cantSplit/>
          <w:tblHeader/>
        </w:trPr>
        <w:tc>
          <w:tcPr>
            <w:tcW w:w="3119" w:type="dxa"/>
            <w:shd w:val="clear" w:color="auto" w:fill="FFFFFF"/>
          </w:tcPr>
          <w:p w14:paraId="63D5FE5D" w14:textId="011EF83A" w:rsidR="009C76B8" w:rsidRPr="004D4C57" w:rsidRDefault="009C76B8" w:rsidP="00DC0A86">
            <w:pPr>
              <w:widowControl w:val="0"/>
              <w:autoSpaceDE w:val="0"/>
              <w:autoSpaceDN w:val="0"/>
              <w:adjustRightInd w:val="0"/>
              <w:spacing w:after="60"/>
              <w:ind w:left="62" w:right="62"/>
              <w:rPr>
                <w:color w:val="000000" w:themeColor="text1"/>
                <w:szCs w:val="24"/>
              </w:rPr>
            </w:pPr>
            <w:r w:rsidRPr="004D4C57">
              <w:rPr>
                <w:color w:val="000000" w:themeColor="text1"/>
                <w:szCs w:val="24"/>
              </w:rPr>
              <w:t>9. M2 Episodic memory</w:t>
            </w:r>
          </w:p>
        </w:tc>
        <w:tc>
          <w:tcPr>
            <w:tcW w:w="680" w:type="dxa"/>
            <w:shd w:val="clear" w:color="auto" w:fill="FFFFFF"/>
          </w:tcPr>
          <w:p w14:paraId="238C2368" w14:textId="62892914"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-.13</w:t>
            </w:r>
          </w:p>
        </w:tc>
        <w:tc>
          <w:tcPr>
            <w:tcW w:w="680" w:type="dxa"/>
            <w:shd w:val="clear" w:color="auto" w:fill="FFFFFF"/>
          </w:tcPr>
          <w:p w14:paraId="52371CA7" w14:textId="1197208B"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.23</w:t>
            </w:r>
          </w:p>
        </w:tc>
        <w:tc>
          <w:tcPr>
            <w:tcW w:w="680" w:type="dxa"/>
            <w:shd w:val="clear" w:color="auto" w:fill="FFFFFF"/>
          </w:tcPr>
          <w:p w14:paraId="275324A3" w14:textId="699C642A"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.15</w:t>
            </w:r>
          </w:p>
        </w:tc>
        <w:tc>
          <w:tcPr>
            <w:tcW w:w="680" w:type="dxa"/>
            <w:shd w:val="clear" w:color="auto" w:fill="FFFFFF"/>
          </w:tcPr>
          <w:p w14:paraId="3BB13F42" w14:textId="39FB78BD"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.02</w:t>
            </w:r>
          </w:p>
        </w:tc>
        <w:tc>
          <w:tcPr>
            <w:tcW w:w="680" w:type="dxa"/>
            <w:shd w:val="clear" w:color="auto" w:fill="FFFFFF"/>
          </w:tcPr>
          <w:p w14:paraId="19D489BE" w14:textId="24B25B55"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.09</w:t>
            </w:r>
          </w:p>
        </w:tc>
        <w:tc>
          <w:tcPr>
            <w:tcW w:w="680" w:type="dxa"/>
            <w:shd w:val="clear" w:color="auto" w:fill="FFFFFF"/>
          </w:tcPr>
          <w:p w14:paraId="09B4EB6F" w14:textId="73D13124"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.05</w:t>
            </w:r>
          </w:p>
        </w:tc>
        <w:tc>
          <w:tcPr>
            <w:tcW w:w="680" w:type="dxa"/>
            <w:shd w:val="clear" w:color="auto" w:fill="FFFFFF"/>
          </w:tcPr>
          <w:p w14:paraId="7CB8B7A5" w14:textId="3154DDBE"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9C76B8" w:rsidRPr="004D4C57">
              <w:rPr>
                <w:color w:val="000000" w:themeColor="text1"/>
                <w:szCs w:val="24"/>
              </w:rPr>
              <w:t>.07</w:t>
            </w:r>
          </w:p>
        </w:tc>
        <w:tc>
          <w:tcPr>
            <w:tcW w:w="680" w:type="dxa"/>
            <w:shd w:val="clear" w:color="auto" w:fill="FFFFFF"/>
          </w:tcPr>
          <w:p w14:paraId="556A293B" w14:textId="6CEDFB2B"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.03</w:t>
            </w:r>
          </w:p>
        </w:tc>
        <w:tc>
          <w:tcPr>
            <w:tcW w:w="680" w:type="dxa"/>
            <w:shd w:val="clear" w:color="auto" w:fill="FFFFFF"/>
          </w:tcPr>
          <w:p w14:paraId="3153D34F" w14:textId="56BDE19B"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shd w:val="clear" w:color="auto" w:fill="FFFFFF"/>
          </w:tcPr>
          <w:p w14:paraId="77DE5D14" w14:textId="1AC32089" w:rsidR="009C76B8" w:rsidRPr="004D4C57" w:rsidRDefault="001C2DC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.31</w:t>
            </w:r>
          </w:p>
        </w:tc>
        <w:tc>
          <w:tcPr>
            <w:tcW w:w="680" w:type="dxa"/>
            <w:shd w:val="clear" w:color="auto" w:fill="FFFFFF"/>
          </w:tcPr>
          <w:p w14:paraId="7C58C622" w14:textId="3BB1E07A" w:rsidR="009C76B8" w:rsidRPr="004D4C57" w:rsidRDefault="001C2DC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.48</w:t>
            </w:r>
          </w:p>
        </w:tc>
        <w:tc>
          <w:tcPr>
            <w:tcW w:w="680" w:type="dxa"/>
            <w:shd w:val="clear" w:color="auto" w:fill="FFFFFF"/>
          </w:tcPr>
          <w:p w14:paraId="58A64968" w14:textId="3087EBA5" w:rsidR="009C76B8" w:rsidRPr="004D4C57" w:rsidRDefault="001C2DC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.23</w:t>
            </w:r>
          </w:p>
        </w:tc>
      </w:tr>
      <w:tr w:rsidR="004D4C57" w:rsidRPr="004D4C57" w14:paraId="0061A717" w14:textId="7E5B12D0" w:rsidTr="00FD0380">
        <w:trPr>
          <w:cantSplit/>
          <w:tblHeader/>
        </w:trPr>
        <w:tc>
          <w:tcPr>
            <w:tcW w:w="3119" w:type="dxa"/>
            <w:shd w:val="clear" w:color="auto" w:fill="FFFFFF"/>
          </w:tcPr>
          <w:p w14:paraId="2E91267E" w14:textId="0BA69924" w:rsidR="009C76B8" w:rsidRPr="004D4C57" w:rsidRDefault="009C76B8" w:rsidP="00DC0A86">
            <w:pPr>
              <w:widowControl w:val="0"/>
              <w:autoSpaceDE w:val="0"/>
              <w:autoSpaceDN w:val="0"/>
              <w:adjustRightInd w:val="0"/>
              <w:spacing w:after="60"/>
              <w:ind w:left="62" w:right="62"/>
              <w:rPr>
                <w:color w:val="000000" w:themeColor="text1"/>
                <w:szCs w:val="24"/>
              </w:rPr>
            </w:pPr>
            <w:r w:rsidRPr="004D4C57">
              <w:rPr>
                <w:color w:val="000000" w:themeColor="text1"/>
                <w:szCs w:val="24"/>
              </w:rPr>
              <w:t>10. M2 Executive functioning</w:t>
            </w:r>
          </w:p>
        </w:tc>
        <w:tc>
          <w:tcPr>
            <w:tcW w:w="680" w:type="dxa"/>
            <w:shd w:val="clear" w:color="auto" w:fill="FFFFFF"/>
          </w:tcPr>
          <w:p w14:paraId="117E77DC" w14:textId="608D4F8D"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-.19</w:t>
            </w:r>
          </w:p>
        </w:tc>
        <w:tc>
          <w:tcPr>
            <w:tcW w:w="680" w:type="dxa"/>
            <w:shd w:val="clear" w:color="auto" w:fill="FFFFFF"/>
          </w:tcPr>
          <w:p w14:paraId="3BC8DC5C" w14:textId="42F92115"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-.14</w:t>
            </w:r>
          </w:p>
        </w:tc>
        <w:tc>
          <w:tcPr>
            <w:tcW w:w="680" w:type="dxa"/>
            <w:shd w:val="clear" w:color="auto" w:fill="FFFFFF"/>
          </w:tcPr>
          <w:p w14:paraId="23BA7A0F" w14:textId="047CA3B7"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.30</w:t>
            </w:r>
          </w:p>
        </w:tc>
        <w:tc>
          <w:tcPr>
            <w:tcW w:w="680" w:type="dxa"/>
            <w:shd w:val="clear" w:color="auto" w:fill="FFFFFF"/>
          </w:tcPr>
          <w:p w14:paraId="43E9539C" w14:textId="05C15A44"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.23</w:t>
            </w:r>
          </w:p>
        </w:tc>
        <w:tc>
          <w:tcPr>
            <w:tcW w:w="680" w:type="dxa"/>
            <w:shd w:val="clear" w:color="auto" w:fill="FFFFFF"/>
          </w:tcPr>
          <w:p w14:paraId="6939706B" w14:textId="3DF721D2"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.28</w:t>
            </w:r>
          </w:p>
        </w:tc>
        <w:tc>
          <w:tcPr>
            <w:tcW w:w="680" w:type="dxa"/>
            <w:shd w:val="clear" w:color="auto" w:fill="FFFFFF"/>
          </w:tcPr>
          <w:p w14:paraId="5B9AB686" w14:textId="2B96989E"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.06</w:t>
            </w:r>
          </w:p>
        </w:tc>
        <w:tc>
          <w:tcPr>
            <w:tcW w:w="680" w:type="dxa"/>
            <w:shd w:val="clear" w:color="auto" w:fill="FFFFFF"/>
          </w:tcPr>
          <w:p w14:paraId="595923F8" w14:textId="1FCB93D9"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9C76B8" w:rsidRPr="004D4C57">
              <w:rPr>
                <w:color w:val="000000" w:themeColor="text1"/>
                <w:szCs w:val="24"/>
              </w:rPr>
              <w:t>.17</w:t>
            </w:r>
          </w:p>
        </w:tc>
        <w:tc>
          <w:tcPr>
            <w:tcW w:w="680" w:type="dxa"/>
            <w:shd w:val="clear" w:color="auto" w:fill="FFFFFF"/>
          </w:tcPr>
          <w:p w14:paraId="4BC5D382" w14:textId="499141D3"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-.07</w:t>
            </w:r>
          </w:p>
        </w:tc>
        <w:tc>
          <w:tcPr>
            <w:tcW w:w="680" w:type="dxa"/>
            <w:shd w:val="clear" w:color="auto" w:fill="FFFFFF"/>
          </w:tcPr>
          <w:p w14:paraId="3C9F71AA" w14:textId="22DD2F7A"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.32</w:t>
            </w:r>
          </w:p>
        </w:tc>
        <w:tc>
          <w:tcPr>
            <w:tcW w:w="680" w:type="dxa"/>
            <w:shd w:val="clear" w:color="auto" w:fill="FFFFFF"/>
          </w:tcPr>
          <w:p w14:paraId="4BD85CDA" w14:textId="4D84DDF6"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shd w:val="clear" w:color="auto" w:fill="FFFFFF"/>
          </w:tcPr>
          <w:p w14:paraId="276FAB79" w14:textId="5DE886D2" w:rsidR="009C76B8" w:rsidRPr="004D4C57" w:rsidRDefault="0073674F"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.24</w:t>
            </w:r>
          </w:p>
        </w:tc>
        <w:tc>
          <w:tcPr>
            <w:tcW w:w="680" w:type="dxa"/>
            <w:shd w:val="clear" w:color="auto" w:fill="FFFFFF"/>
          </w:tcPr>
          <w:p w14:paraId="06EDB552" w14:textId="1605F24D" w:rsidR="009C76B8" w:rsidRPr="004D4C57" w:rsidRDefault="0073674F"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.76</w:t>
            </w:r>
          </w:p>
        </w:tc>
      </w:tr>
      <w:tr w:rsidR="004D4C57" w:rsidRPr="004D4C57" w14:paraId="04CD1DC8" w14:textId="09DB711B" w:rsidTr="00E21118">
        <w:trPr>
          <w:cantSplit/>
          <w:tblHeader/>
        </w:trPr>
        <w:tc>
          <w:tcPr>
            <w:tcW w:w="3119" w:type="dxa"/>
            <w:shd w:val="clear" w:color="auto" w:fill="FFFFFF"/>
          </w:tcPr>
          <w:p w14:paraId="5F23164A" w14:textId="6DB71EDB" w:rsidR="009C76B8" w:rsidRPr="004D4C57" w:rsidRDefault="009C76B8" w:rsidP="00DC0A86">
            <w:pPr>
              <w:widowControl w:val="0"/>
              <w:autoSpaceDE w:val="0"/>
              <w:autoSpaceDN w:val="0"/>
              <w:adjustRightInd w:val="0"/>
              <w:spacing w:after="60"/>
              <w:ind w:left="62" w:right="62"/>
              <w:rPr>
                <w:color w:val="000000" w:themeColor="text1"/>
                <w:szCs w:val="24"/>
              </w:rPr>
            </w:pPr>
            <w:r w:rsidRPr="004D4C57">
              <w:rPr>
                <w:color w:val="000000" w:themeColor="text1"/>
                <w:szCs w:val="24"/>
              </w:rPr>
              <w:t>11. M3 Episodic memory</w:t>
            </w:r>
          </w:p>
        </w:tc>
        <w:tc>
          <w:tcPr>
            <w:tcW w:w="680" w:type="dxa"/>
            <w:shd w:val="clear" w:color="auto" w:fill="FFFFFF"/>
          </w:tcPr>
          <w:p w14:paraId="601B0666" w14:textId="5014E24F"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-.26</w:t>
            </w:r>
          </w:p>
        </w:tc>
        <w:tc>
          <w:tcPr>
            <w:tcW w:w="680" w:type="dxa"/>
            <w:shd w:val="clear" w:color="auto" w:fill="FFFFFF"/>
          </w:tcPr>
          <w:p w14:paraId="07D15804" w14:textId="3FE4FBFA"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.29</w:t>
            </w:r>
          </w:p>
        </w:tc>
        <w:tc>
          <w:tcPr>
            <w:tcW w:w="680" w:type="dxa"/>
            <w:shd w:val="clear" w:color="auto" w:fill="FFFFFF"/>
          </w:tcPr>
          <w:p w14:paraId="052A4695" w14:textId="67B044A3"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.12</w:t>
            </w:r>
          </w:p>
        </w:tc>
        <w:tc>
          <w:tcPr>
            <w:tcW w:w="680" w:type="dxa"/>
            <w:shd w:val="clear" w:color="auto" w:fill="FFFFFF"/>
          </w:tcPr>
          <w:p w14:paraId="41E26D4A" w14:textId="7C413D29"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.09</w:t>
            </w:r>
          </w:p>
        </w:tc>
        <w:tc>
          <w:tcPr>
            <w:tcW w:w="680" w:type="dxa"/>
            <w:shd w:val="clear" w:color="auto" w:fill="FFFFFF"/>
          </w:tcPr>
          <w:p w14:paraId="26877B56" w14:textId="0BD71641"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.08</w:t>
            </w:r>
          </w:p>
        </w:tc>
        <w:tc>
          <w:tcPr>
            <w:tcW w:w="680" w:type="dxa"/>
            <w:shd w:val="clear" w:color="auto" w:fill="FFFFFF"/>
          </w:tcPr>
          <w:p w14:paraId="369368B6" w14:textId="34204D5F"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.04</w:t>
            </w:r>
          </w:p>
        </w:tc>
        <w:tc>
          <w:tcPr>
            <w:tcW w:w="680" w:type="dxa"/>
            <w:shd w:val="clear" w:color="auto" w:fill="FFFFFF"/>
          </w:tcPr>
          <w:p w14:paraId="5024D91F" w14:textId="5FF3ACCB" w:rsidR="009C76B8" w:rsidRPr="004D4C57" w:rsidRDefault="00203FBA"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r w:rsidR="009C76B8" w:rsidRPr="004D4C57">
              <w:rPr>
                <w:color w:val="000000" w:themeColor="text1"/>
                <w:szCs w:val="24"/>
              </w:rPr>
              <w:t>.11</w:t>
            </w:r>
          </w:p>
        </w:tc>
        <w:tc>
          <w:tcPr>
            <w:tcW w:w="680" w:type="dxa"/>
            <w:shd w:val="clear" w:color="auto" w:fill="FFFFFF"/>
          </w:tcPr>
          <w:p w14:paraId="30AA4D49" w14:textId="5267A9D8"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.00</w:t>
            </w:r>
          </w:p>
        </w:tc>
        <w:tc>
          <w:tcPr>
            <w:tcW w:w="680" w:type="dxa"/>
            <w:shd w:val="clear" w:color="auto" w:fill="FFFFFF"/>
          </w:tcPr>
          <w:p w14:paraId="5A06233C" w14:textId="6FC04059"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.49</w:t>
            </w:r>
          </w:p>
        </w:tc>
        <w:tc>
          <w:tcPr>
            <w:tcW w:w="680" w:type="dxa"/>
            <w:shd w:val="clear" w:color="auto" w:fill="FFFFFF"/>
          </w:tcPr>
          <w:p w14:paraId="3882ADA8" w14:textId="1715FF18"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.27</w:t>
            </w:r>
          </w:p>
        </w:tc>
        <w:tc>
          <w:tcPr>
            <w:tcW w:w="680" w:type="dxa"/>
            <w:shd w:val="clear" w:color="auto" w:fill="FFFFFF"/>
          </w:tcPr>
          <w:p w14:paraId="08212098" w14:textId="33E88D04" w:rsidR="009C76B8" w:rsidRPr="004D4C57" w:rsidRDefault="009C76B8"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shd w:val="clear" w:color="auto" w:fill="FFFFFF"/>
          </w:tcPr>
          <w:p w14:paraId="428ED3B4" w14:textId="0E94F312" w:rsidR="009C76B8" w:rsidRPr="004D4C57" w:rsidRDefault="0073674F" w:rsidP="00DC0A86">
            <w:pPr>
              <w:widowControl w:val="0"/>
              <w:autoSpaceDE w:val="0"/>
              <w:autoSpaceDN w:val="0"/>
              <w:adjustRightInd w:val="0"/>
              <w:spacing w:after="60"/>
              <w:ind w:right="62"/>
              <w:jc w:val="center"/>
              <w:rPr>
                <w:color w:val="000000" w:themeColor="text1"/>
                <w:szCs w:val="24"/>
              </w:rPr>
            </w:pPr>
            <w:r w:rsidRPr="004D4C57">
              <w:rPr>
                <w:color w:val="000000" w:themeColor="text1"/>
                <w:szCs w:val="24"/>
              </w:rPr>
              <w:t>.32</w:t>
            </w:r>
          </w:p>
        </w:tc>
      </w:tr>
      <w:tr w:rsidR="004D4C57" w:rsidRPr="004D4C57" w14:paraId="77CD64DA" w14:textId="7C5C7162" w:rsidTr="00E21118">
        <w:trPr>
          <w:cantSplit/>
          <w:tblHeader/>
        </w:trPr>
        <w:tc>
          <w:tcPr>
            <w:tcW w:w="3119" w:type="dxa"/>
            <w:tcBorders>
              <w:bottom w:val="single" w:sz="4" w:space="0" w:color="auto"/>
            </w:tcBorders>
            <w:shd w:val="clear" w:color="auto" w:fill="FFFFFF"/>
          </w:tcPr>
          <w:p w14:paraId="4BFC3B33" w14:textId="7F098DDC" w:rsidR="009C76B8" w:rsidRPr="004D4C57" w:rsidRDefault="009C76B8" w:rsidP="00FD0380">
            <w:pPr>
              <w:widowControl w:val="0"/>
              <w:autoSpaceDE w:val="0"/>
              <w:autoSpaceDN w:val="0"/>
              <w:adjustRightInd w:val="0"/>
              <w:spacing w:after="120"/>
              <w:ind w:left="62" w:right="62"/>
              <w:rPr>
                <w:color w:val="000000" w:themeColor="text1"/>
                <w:szCs w:val="24"/>
              </w:rPr>
            </w:pPr>
            <w:r w:rsidRPr="004D4C57">
              <w:rPr>
                <w:color w:val="000000" w:themeColor="text1"/>
                <w:szCs w:val="24"/>
              </w:rPr>
              <w:t>12. M3 Executive functioning</w:t>
            </w:r>
          </w:p>
        </w:tc>
        <w:tc>
          <w:tcPr>
            <w:tcW w:w="680" w:type="dxa"/>
            <w:tcBorders>
              <w:bottom w:val="single" w:sz="4" w:space="0" w:color="auto"/>
            </w:tcBorders>
            <w:shd w:val="clear" w:color="auto" w:fill="FFFFFF"/>
          </w:tcPr>
          <w:p w14:paraId="2678008D" w14:textId="7493A268"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-.27</w:t>
            </w:r>
          </w:p>
        </w:tc>
        <w:tc>
          <w:tcPr>
            <w:tcW w:w="680" w:type="dxa"/>
            <w:tcBorders>
              <w:bottom w:val="single" w:sz="4" w:space="0" w:color="auto"/>
            </w:tcBorders>
            <w:shd w:val="clear" w:color="auto" w:fill="FFFFFF"/>
          </w:tcPr>
          <w:p w14:paraId="64B9DFB6" w14:textId="31BF81D9"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-.15</w:t>
            </w:r>
          </w:p>
        </w:tc>
        <w:tc>
          <w:tcPr>
            <w:tcW w:w="680" w:type="dxa"/>
            <w:tcBorders>
              <w:bottom w:val="single" w:sz="4" w:space="0" w:color="auto"/>
            </w:tcBorders>
            <w:shd w:val="clear" w:color="auto" w:fill="FFFFFF"/>
          </w:tcPr>
          <w:p w14:paraId="49C835B0" w14:textId="5364B1C8"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.28</w:t>
            </w:r>
          </w:p>
        </w:tc>
        <w:tc>
          <w:tcPr>
            <w:tcW w:w="680" w:type="dxa"/>
            <w:tcBorders>
              <w:bottom w:val="single" w:sz="4" w:space="0" w:color="auto"/>
            </w:tcBorders>
            <w:shd w:val="clear" w:color="auto" w:fill="FFFFFF"/>
          </w:tcPr>
          <w:p w14:paraId="20C08259" w14:textId="5615E209"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.20</w:t>
            </w:r>
          </w:p>
        </w:tc>
        <w:tc>
          <w:tcPr>
            <w:tcW w:w="680" w:type="dxa"/>
            <w:tcBorders>
              <w:bottom w:val="single" w:sz="4" w:space="0" w:color="auto"/>
            </w:tcBorders>
            <w:shd w:val="clear" w:color="auto" w:fill="FFFFFF"/>
          </w:tcPr>
          <w:p w14:paraId="145548E8" w14:textId="7388AC05"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.28</w:t>
            </w:r>
          </w:p>
        </w:tc>
        <w:tc>
          <w:tcPr>
            <w:tcW w:w="680" w:type="dxa"/>
            <w:tcBorders>
              <w:bottom w:val="single" w:sz="4" w:space="0" w:color="auto"/>
            </w:tcBorders>
            <w:shd w:val="clear" w:color="auto" w:fill="FFFFFF"/>
          </w:tcPr>
          <w:p w14:paraId="26DAA514" w14:textId="2B16D08F"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.03</w:t>
            </w:r>
          </w:p>
        </w:tc>
        <w:tc>
          <w:tcPr>
            <w:tcW w:w="680" w:type="dxa"/>
            <w:tcBorders>
              <w:bottom w:val="single" w:sz="4" w:space="0" w:color="auto"/>
            </w:tcBorders>
            <w:shd w:val="clear" w:color="auto" w:fill="FFFFFF"/>
          </w:tcPr>
          <w:p w14:paraId="2CFBBDF8" w14:textId="2238D418" w:rsidR="009C76B8" w:rsidRPr="004D4C57" w:rsidRDefault="00203FBA"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w:t>
            </w:r>
            <w:r w:rsidR="009C76B8" w:rsidRPr="004D4C57">
              <w:rPr>
                <w:color w:val="000000" w:themeColor="text1"/>
                <w:szCs w:val="24"/>
              </w:rPr>
              <w:t>.18</w:t>
            </w:r>
          </w:p>
        </w:tc>
        <w:tc>
          <w:tcPr>
            <w:tcW w:w="680" w:type="dxa"/>
            <w:tcBorders>
              <w:bottom w:val="single" w:sz="4" w:space="0" w:color="auto"/>
            </w:tcBorders>
            <w:shd w:val="clear" w:color="auto" w:fill="FFFFFF"/>
          </w:tcPr>
          <w:p w14:paraId="50B3946E" w14:textId="72CE4F07"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-.07</w:t>
            </w:r>
          </w:p>
        </w:tc>
        <w:tc>
          <w:tcPr>
            <w:tcW w:w="680" w:type="dxa"/>
            <w:tcBorders>
              <w:bottom w:val="single" w:sz="4" w:space="0" w:color="auto"/>
            </w:tcBorders>
            <w:shd w:val="clear" w:color="auto" w:fill="FFFFFF"/>
          </w:tcPr>
          <w:p w14:paraId="2EF38548" w14:textId="26D4E253"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.24</w:t>
            </w:r>
          </w:p>
        </w:tc>
        <w:tc>
          <w:tcPr>
            <w:tcW w:w="680" w:type="dxa"/>
            <w:tcBorders>
              <w:bottom w:val="single" w:sz="4" w:space="0" w:color="auto"/>
            </w:tcBorders>
            <w:shd w:val="clear" w:color="auto" w:fill="FFFFFF"/>
          </w:tcPr>
          <w:p w14:paraId="4F4CE1F6" w14:textId="347303E5"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.75</w:t>
            </w:r>
          </w:p>
        </w:tc>
        <w:tc>
          <w:tcPr>
            <w:tcW w:w="680" w:type="dxa"/>
            <w:tcBorders>
              <w:bottom w:val="single" w:sz="4" w:space="0" w:color="auto"/>
            </w:tcBorders>
            <w:shd w:val="clear" w:color="auto" w:fill="FFFFFF"/>
          </w:tcPr>
          <w:p w14:paraId="45851BDC" w14:textId="5A0E51C5"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.33</w:t>
            </w:r>
          </w:p>
        </w:tc>
        <w:tc>
          <w:tcPr>
            <w:tcW w:w="680" w:type="dxa"/>
            <w:tcBorders>
              <w:bottom w:val="single" w:sz="4" w:space="0" w:color="auto"/>
            </w:tcBorders>
            <w:shd w:val="clear" w:color="auto" w:fill="FFFFFF"/>
          </w:tcPr>
          <w:p w14:paraId="0176CA5F" w14:textId="7B769403" w:rsidR="009C76B8" w:rsidRPr="004D4C57" w:rsidRDefault="009C76B8" w:rsidP="00FD0380">
            <w:pPr>
              <w:widowControl w:val="0"/>
              <w:autoSpaceDE w:val="0"/>
              <w:autoSpaceDN w:val="0"/>
              <w:adjustRightInd w:val="0"/>
              <w:spacing w:after="120"/>
              <w:ind w:right="62"/>
              <w:jc w:val="center"/>
              <w:rPr>
                <w:color w:val="000000" w:themeColor="text1"/>
                <w:szCs w:val="24"/>
              </w:rPr>
            </w:pPr>
            <w:r w:rsidRPr="004D4C57">
              <w:rPr>
                <w:color w:val="000000" w:themeColor="text1"/>
                <w:szCs w:val="24"/>
              </w:rPr>
              <w:t>–</w:t>
            </w:r>
          </w:p>
        </w:tc>
      </w:tr>
      <w:tr w:rsidR="004D4C57" w:rsidRPr="004D4C57" w14:paraId="1A51558E" w14:textId="453E451A" w:rsidTr="00E21118">
        <w:trPr>
          <w:cantSplit/>
          <w:tblHeader/>
        </w:trPr>
        <w:tc>
          <w:tcPr>
            <w:tcW w:w="3119" w:type="dxa"/>
            <w:tcBorders>
              <w:top w:val="single" w:sz="4" w:space="0" w:color="auto"/>
            </w:tcBorders>
            <w:shd w:val="clear" w:color="auto" w:fill="FFFFFF"/>
          </w:tcPr>
          <w:p w14:paraId="6D2ED117" w14:textId="6330B7F9" w:rsidR="009C76B8" w:rsidRPr="004D4C57" w:rsidRDefault="009C76B8" w:rsidP="00A920BE">
            <w:pPr>
              <w:widowControl w:val="0"/>
              <w:autoSpaceDE w:val="0"/>
              <w:autoSpaceDN w:val="0"/>
              <w:adjustRightInd w:val="0"/>
              <w:spacing w:after="60"/>
              <w:ind w:left="284" w:right="62"/>
              <w:rPr>
                <w:i/>
                <w:color w:val="000000" w:themeColor="text1"/>
                <w:szCs w:val="24"/>
              </w:rPr>
            </w:pPr>
            <w:r w:rsidRPr="004D4C57">
              <w:rPr>
                <w:i/>
                <w:color w:val="000000" w:themeColor="text1"/>
                <w:szCs w:val="24"/>
              </w:rPr>
              <w:t>M</w:t>
            </w:r>
            <w:r w:rsidR="00E21118" w:rsidRPr="004D4C57">
              <w:rPr>
                <w:i/>
                <w:color w:val="000000" w:themeColor="text1"/>
                <w:szCs w:val="24"/>
              </w:rPr>
              <w:t xml:space="preserve"> </w:t>
            </w:r>
            <w:r w:rsidR="00E21118" w:rsidRPr="004D4C57">
              <w:rPr>
                <w:iCs/>
                <w:color w:val="000000" w:themeColor="text1"/>
                <w:szCs w:val="24"/>
              </w:rPr>
              <w:t>(total)</w:t>
            </w:r>
          </w:p>
        </w:tc>
        <w:tc>
          <w:tcPr>
            <w:tcW w:w="680" w:type="dxa"/>
            <w:tcBorders>
              <w:top w:val="single" w:sz="4" w:space="0" w:color="auto"/>
            </w:tcBorders>
            <w:shd w:val="clear" w:color="auto" w:fill="FFFFFF"/>
          </w:tcPr>
          <w:p w14:paraId="3818585E" w14:textId="592D9884"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57.36</w:t>
            </w:r>
          </w:p>
        </w:tc>
        <w:tc>
          <w:tcPr>
            <w:tcW w:w="680" w:type="dxa"/>
            <w:tcBorders>
              <w:top w:val="single" w:sz="4" w:space="0" w:color="auto"/>
            </w:tcBorders>
            <w:shd w:val="clear" w:color="auto" w:fill="FFFFFF"/>
          </w:tcPr>
          <w:p w14:paraId="1902CF1D" w14:textId="356601EA"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1.50</w:t>
            </w:r>
          </w:p>
        </w:tc>
        <w:tc>
          <w:tcPr>
            <w:tcW w:w="680" w:type="dxa"/>
            <w:tcBorders>
              <w:top w:val="single" w:sz="4" w:space="0" w:color="auto"/>
            </w:tcBorders>
            <w:shd w:val="clear" w:color="auto" w:fill="FFFFFF"/>
          </w:tcPr>
          <w:p w14:paraId="1BD05185" w14:textId="2786F0B9"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0.76</w:t>
            </w:r>
          </w:p>
        </w:tc>
        <w:tc>
          <w:tcPr>
            <w:tcW w:w="680" w:type="dxa"/>
            <w:tcBorders>
              <w:top w:val="single" w:sz="4" w:space="0" w:color="auto"/>
            </w:tcBorders>
            <w:shd w:val="clear" w:color="auto" w:fill="FFFFFF"/>
          </w:tcPr>
          <w:p w14:paraId="21D427D2" w14:textId="4C514614"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88507</w:t>
            </w:r>
          </w:p>
        </w:tc>
        <w:tc>
          <w:tcPr>
            <w:tcW w:w="680" w:type="dxa"/>
            <w:tcBorders>
              <w:top w:val="single" w:sz="4" w:space="0" w:color="auto"/>
            </w:tcBorders>
            <w:shd w:val="clear" w:color="auto" w:fill="FFFFFF"/>
          </w:tcPr>
          <w:p w14:paraId="63086839" w14:textId="410291D1"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0.49</w:t>
            </w:r>
          </w:p>
        </w:tc>
        <w:tc>
          <w:tcPr>
            <w:tcW w:w="680" w:type="dxa"/>
            <w:tcBorders>
              <w:top w:val="single" w:sz="4" w:space="0" w:color="auto"/>
            </w:tcBorders>
            <w:shd w:val="clear" w:color="auto" w:fill="FFFFFF"/>
          </w:tcPr>
          <w:p w14:paraId="549330BE" w14:textId="0AD0AE75"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7.74</w:t>
            </w:r>
          </w:p>
        </w:tc>
        <w:tc>
          <w:tcPr>
            <w:tcW w:w="680" w:type="dxa"/>
            <w:tcBorders>
              <w:top w:val="single" w:sz="4" w:space="0" w:color="auto"/>
            </w:tcBorders>
            <w:shd w:val="clear" w:color="auto" w:fill="FFFFFF"/>
          </w:tcPr>
          <w:p w14:paraId="2DC1C14A" w14:textId="1EE90EC7" w:rsidR="009C76B8" w:rsidRPr="004D4C57" w:rsidRDefault="000D66DD"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0.43</w:t>
            </w:r>
          </w:p>
        </w:tc>
        <w:tc>
          <w:tcPr>
            <w:tcW w:w="680" w:type="dxa"/>
            <w:tcBorders>
              <w:top w:val="single" w:sz="4" w:space="0" w:color="auto"/>
            </w:tcBorders>
            <w:shd w:val="clear" w:color="auto" w:fill="FFFFFF"/>
          </w:tcPr>
          <w:p w14:paraId="7D210CAB" w14:textId="65D0BFBA"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2.12</w:t>
            </w:r>
          </w:p>
        </w:tc>
        <w:tc>
          <w:tcPr>
            <w:tcW w:w="680" w:type="dxa"/>
            <w:tcBorders>
              <w:top w:val="single" w:sz="4" w:space="0" w:color="auto"/>
            </w:tcBorders>
            <w:shd w:val="clear" w:color="auto" w:fill="FFFFFF"/>
          </w:tcPr>
          <w:p w14:paraId="4E171DA8" w14:textId="5BFBD414"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0.12</w:t>
            </w:r>
          </w:p>
        </w:tc>
        <w:tc>
          <w:tcPr>
            <w:tcW w:w="680" w:type="dxa"/>
            <w:tcBorders>
              <w:top w:val="single" w:sz="4" w:space="0" w:color="auto"/>
            </w:tcBorders>
            <w:shd w:val="clear" w:color="auto" w:fill="FFFFFF"/>
          </w:tcPr>
          <w:p w14:paraId="67D9A573" w14:textId="05B8A778"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0.14</w:t>
            </w:r>
          </w:p>
        </w:tc>
        <w:tc>
          <w:tcPr>
            <w:tcW w:w="680" w:type="dxa"/>
            <w:tcBorders>
              <w:top w:val="single" w:sz="4" w:space="0" w:color="auto"/>
            </w:tcBorders>
            <w:shd w:val="clear" w:color="auto" w:fill="FFFFFF"/>
          </w:tcPr>
          <w:p w14:paraId="4076467A" w14:textId="63ABCFDA"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-.02</w:t>
            </w:r>
          </w:p>
        </w:tc>
        <w:tc>
          <w:tcPr>
            <w:tcW w:w="680" w:type="dxa"/>
            <w:tcBorders>
              <w:top w:val="single" w:sz="4" w:space="0" w:color="auto"/>
            </w:tcBorders>
            <w:shd w:val="clear" w:color="auto" w:fill="FFFFFF"/>
          </w:tcPr>
          <w:p w14:paraId="00EDBED5" w14:textId="5A6E666B"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-.10</w:t>
            </w:r>
          </w:p>
        </w:tc>
      </w:tr>
      <w:tr w:rsidR="004D4C57" w:rsidRPr="004D4C57" w14:paraId="54A78330" w14:textId="3BBE9BCA" w:rsidTr="00E21118">
        <w:trPr>
          <w:cantSplit/>
          <w:tblHeader/>
        </w:trPr>
        <w:tc>
          <w:tcPr>
            <w:tcW w:w="3119" w:type="dxa"/>
            <w:tcBorders>
              <w:bottom w:val="single" w:sz="4" w:space="0" w:color="auto"/>
            </w:tcBorders>
            <w:shd w:val="clear" w:color="auto" w:fill="FFFFFF"/>
          </w:tcPr>
          <w:p w14:paraId="3D4BED72" w14:textId="4021B009" w:rsidR="009C76B8" w:rsidRPr="004D4C57" w:rsidRDefault="009C76B8" w:rsidP="00A920BE">
            <w:pPr>
              <w:widowControl w:val="0"/>
              <w:autoSpaceDE w:val="0"/>
              <w:autoSpaceDN w:val="0"/>
              <w:adjustRightInd w:val="0"/>
              <w:spacing w:after="60"/>
              <w:ind w:left="284" w:right="62"/>
              <w:rPr>
                <w:i/>
                <w:color w:val="000000" w:themeColor="text1"/>
                <w:szCs w:val="24"/>
              </w:rPr>
            </w:pPr>
            <w:r w:rsidRPr="004D4C57">
              <w:rPr>
                <w:i/>
                <w:color w:val="000000" w:themeColor="text1"/>
                <w:szCs w:val="24"/>
              </w:rPr>
              <w:t>SD</w:t>
            </w:r>
            <w:r w:rsidR="00E21118" w:rsidRPr="004D4C57">
              <w:rPr>
                <w:i/>
                <w:color w:val="000000" w:themeColor="text1"/>
                <w:szCs w:val="24"/>
              </w:rPr>
              <w:t xml:space="preserve"> </w:t>
            </w:r>
            <w:r w:rsidR="00E21118" w:rsidRPr="004D4C57">
              <w:rPr>
                <w:iCs/>
                <w:color w:val="000000" w:themeColor="text1"/>
                <w:szCs w:val="24"/>
              </w:rPr>
              <w:t>(total)</w:t>
            </w:r>
          </w:p>
        </w:tc>
        <w:tc>
          <w:tcPr>
            <w:tcW w:w="680" w:type="dxa"/>
            <w:tcBorders>
              <w:bottom w:val="single" w:sz="4" w:space="0" w:color="auto"/>
            </w:tcBorders>
            <w:shd w:val="clear" w:color="auto" w:fill="FFFFFF"/>
          </w:tcPr>
          <w:p w14:paraId="24E1057C" w14:textId="41A36199"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5.76</w:t>
            </w:r>
          </w:p>
        </w:tc>
        <w:tc>
          <w:tcPr>
            <w:tcW w:w="680" w:type="dxa"/>
            <w:tcBorders>
              <w:bottom w:val="single" w:sz="4" w:space="0" w:color="auto"/>
            </w:tcBorders>
            <w:shd w:val="clear" w:color="auto" w:fill="FFFFFF"/>
          </w:tcPr>
          <w:p w14:paraId="679C1C11" w14:textId="57DFF6F2"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6AEDB6F4" w14:textId="33C3D76F"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3C90955E" w14:textId="64FA5557"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66590</w:t>
            </w:r>
          </w:p>
        </w:tc>
        <w:tc>
          <w:tcPr>
            <w:tcW w:w="680" w:type="dxa"/>
            <w:tcBorders>
              <w:bottom w:val="single" w:sz="4" w:space="0" w:color="auto"/>
            </w:tcBorders>
            <w:shd w:val="clear" w:color="auto" w:fill="FFFFFF"/>
          </w:tcPr>
          <w:p w14:paraId="11BF1231" w14:textId="4D37C7B0"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6A298983" w14:textId="19464A93"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1.30</w:t>
            </w:r>
          </w:p>
        </w:tc>
        <w:tc>
          <w:tcPr>
            <w:tcW w:w="680" w:type="dxa"/>
            <w:tcBorders>
              <w:bottom w:val="single" w:sz="4" w:space="0" w:color="auto"/>
            </w:tcBorders>
            <w:shd w:val="clear" w:color="auto" w:fill="FFFFFF"/>
          </w:tcPr>
          <w:p w14:paraId="568D4AC5" w14:textId="06F7FC62"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057A3BCA" w14:textId="44D05EAA"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0.62</w:t>
            </w:r>
          </w:p>
        </w:tc>
        <w:tc>
          <w:tcPr>
            <w:tcW w:w="680" w:type="dxa"/>
            <w:tcBorders>
              <w:bottom w:val="single" w:sz="4" w:space="0" w:color="auto"/>
            </w:tcBorders>
            <w:shd w:val="clear" w:color="auto" w:fill="FFFFFF"/>
          </w:tcPr>
          <w:p w14:paraId="6B12A9BA" w14:textId="65370DA0"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0.91</w:t>
            </w:r>
          </w:p>
        </w:tc>
        <w:tc>
          <w:tcPr>
            <w:tcW w:w="680" w:type="dxa"/>
            <w:tcBorders>
              <w:bottom w:val="single" w:sz="4" w:space="0" w:color="auto"/>
            </w:tcBorders>
            <w:shd w:val="clear" w:color="auto" w:fill="FFFFFF"/>
          </w:tcPr>
          <w:p w14:paraId="4606436D" w14:textId="04AD68CC"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0.60</w:t>
            </w:r>
          </w:p>
        </w:tc>
        <w:tc>
          <w:tcPr>
            <w:tcW w:w="680" w:type="dxa"/>
            <w:tcBorders>
              <w:bottom w:val="single" w:sz="4" w:space="0" w:color="auto"/>
            </w:tcBorders>
            <w:shd w:val="clear" w:color="auto" w:fill="FFFFFF"/>
          </w:tcPr>
          <w:p w14:paraId="5E50282C" w14:textId="10DFC79A"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0.91</w:t>
            </w:r>
          </w:p>
        </w:tc>
        <w:tc>
          <w:tcPr>
            <w:tcW w:w="680" w:type="dxa"/>
            <w:tcBorders>
              <w:bottom w:val="single" w:sz="4" w:space="0" w:color="auto"/>
            </w:tcBorders>
            <w:shd w:val="clear" w:color="auto" w:fill="FFFFFF"/>
          </w:tcPr>
          <w:p w14:paraId="1A6B66E2" w14:textId="324E6CF2" w:rsidR="009C76B8" w:rsidRPr="004D4C57" w:rsidRDefault="009C76B8" w:rsidP="00A920BE">
            <w:pPr>
              <w:widowControl w:val="0"/>
              <w:autoSpaceDE w:val="0"/>
              <w:autoSpaceDN w:val="0"/>
              <w:adjustRightInd w:val="0"/>
              <w:spacing w:after="60"/>
              <w:ind w:right="62"/>
              <w:jc w:val="center"/>
              <w:rPr>
                <w:color w:val="000000" w:themeColor="text1"/>
                <w:szCs w:val="24"/>
              </w:rPr>
            </w:pPr>
            <w:r w:rsidRPr="004D4C57">
              <w:rPr>
                <w:color w:val="000000" w:themeColor="text1"/>
                <w:szCs w:val="24"/>
              </w:rPr>
              <w:t>0.65</w:t>
            </w:r>
          </w:p>
        </w:tc>
      </w:tr>
      <w:tr w:rsidR="004D4C57" w:rsidRPr="004D4C57" w14:paraId="4BA3A6CA" w14:textId="77777777" w:rsidTr="00E21118">
        <w:trPr>
          <w:cantSplit/>
          <w:tblHeader/>
        </w:trPr>
        <w:tc>
          <w:tcPr>
            <w:tcW w:w="3119" w:type="dxa"/>
            <w:tcBorders>
              <w:top w:val="single" w:sz="4" w:space="0" w:color="auto"/>
            </w:tcBorders>
            <w:shd w:val="clear" w:color="auto" w:fill="FFFFFF"/>
          </w:tcPr>
          <w:p w14:paraId="1DCCE9F4" w14:textId="0B8FC536" w:rsidR="00A05877" w:rsidRPr="004D4C57" w:rsidRDefault="00A05877" w:rsidP="00C84093">
            <w:pPr>
              <w:widowControl w:val="0"/>
              <w:autoSpaceDE w:val="0"/>
              <w:autoSpaceDN w:val="0"/>
              <w:adjustRightInd w:val="0"/>
              <w:spacing w:after="60"/>
              <w:ind w:left="284" w:right="62"/>
              <w:rPr>
                <w:i/>
                <w:color w:val="000000" w:themeColor="text1"/>
                <w:szCs w:val="24"/>
              </w:rPr>
            </w:pPr>
            <w:r w:rsidRPr="004D4C57">
              <w:rPr>
                <w:i/>
                <w:color w:val="000000" w:themeColor="text1"/>
                <w:szCs w:val="24"/>
              </w:rPr>
              <w:t xml:space="preserve">M </w:t>
            </w:r>
            <w:r w:rsidRPr="004D4C57">
              <w:rPr>
                <w:iCs/>
                <w:color w:val="000000" w:themeColor="text1"/>
                <w:szCs w:val="24"/>
              </w:rPr>
              <w:t>(female)</w:t>
            </w:r>
          </w:p>
        </w:tc>
        <w:tc>
          <w:tcPr>
            <w:tcW w:w="680" w:type="dxa"/>
            <w:tcBorders>
              <w:top w:val="single" w:sz="4" w:space="0" w:color="auto"/>
            </w:tcBorders>
            <w:shd w:val="clear" w:color="auto" w:fill="FFFFFF"/>
          </w:tcPr>
          <w:p w14:paraId="5937F5C7" w14:textId="27F5F97F"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57.37</w:t>
            </w:r>
          </w:p>
        </w:tc>
        <w:tc>
          <w:tcPr>
            <w:tcW w:w="680" w:type="dxa"/>
            <w:tcBorders>
              <w:top w:val="single" w:sz="4" w:space="0" w:color="auto"/>
            </w:tcBorders>
            <w:shd w:val="clear" w:color="auto" w:fill="FFFFFF"/>
          </w:tcPr>
          <w:p w14:paraId="52DCBFB7" w14:textId="4D428886" w:rsidR="00A05877" w:rsidRPr="004D4C57" w:rsidRDefault="0007782A"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top w:val="single" w:sz="4" w:space="0" w:color="auto"/>
            </w:tcBorders>
            <w:shd w:val="clear" w:color="auto" w:fill="FFFFFF"/>
          </w:tcPr>
          <w:p w14:paraId="79B3A2F3" w14:textId="514614A9"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0.71</w:t>
            </w:r>
          </w:p>
        </w:tc>
        <w:tc>
          <w:tcPr>
            <w:tcW w:w="680" w:type="dxa"/>
            <w:tcBorders>
              <w:top w:val="single" w:sz="4" w:space="0" w:color="auto"/>
            </w:tcBorders>
            <w:shd w:val="clear" w:color="auto" w:fill="FFFFFF"/>
          </w:tcPr>
          <w:p w14:paraId="7B7F2B73" w14:textId="5292D8B7"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77680</w:t>
            </w:r>
          </w:p>
        </w:tc>
        <w:tc>
          <w:tcPr>
            <w:tcW w:w="680" w:type="dxa"/>
            <w:tcBorders>
              <w:top w:val="single" w:sz="4" w:space="0" w:color="auto"/>
            </w:tcBorders>
            <w:shd w:val="clear" w:color="auto" w:fill="FFFFFF"/>
          </w:tcPr>
          <w:p w14:paraId="58B2DFA0" w14:textId="4C846B91"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0.45</w:t>
            </w:r>
          </w:p>
        </w:tc>
        <w:tc>
          <w:tcPr>
            <w:tcW w:w="680" w:type="dxa"/>
            <w:tcBorders>
              <w:top w:val="single" w:sz="4" w:space="0" w:color="auto"/>
            </w:tcBorders>
            <w:shd w:val="clear" w:color="auto" w:fill="FFFFFF"/>
          </w:tcPr>
          <w:p w14:paraId="6139D8E9" w14:textId="320105C0"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7.72</w:t>
            </w:r>
          </w:p>
        </w:tc>
        <w:tc>
          <w:tcPr>
            <w:tcW w:w="680" w:type="dxa"/>
            <w:tcBorders>
              <w:top w:val="single" w:sz="4" w:space="0" w:color="auto"/>
            </w:tcBorders>
            <w:shd w:val="clear" w:color="auto" w:fill="FFFFFF"/>
          </w:tcPr>
          <w:p w14:paraId="0343500B" w14:textId="48528111"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0.46</w:t>
            </w:r>
          </w:p>
        </w:tc>
        <w:tc>
          <w:tcPr>
            <w:tcW w:w="680" w:type="dxa"/>
            <w:tcBorders>
              <w:top w:val="single" w:sz="4" w:space="0" w:color="auto"/>
            </w:tcBorders>
            <w:shd w:val="clear" w:color="auto" w:fill="FFFFFF"/>
          </w:tcPr>
          <w:p w14:paraId="486270F7" w14:textId="40EA5FD0"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2.23</w:t>
            </w:r>
          </w:p>
        </w:tc>
        <w:tc>
          <w:tcPr>
            <w:tcW w:w="680" w:type="dxa"/>
            <w:tcBorders>
              <w:top w:val="single" w:sz="4" w:space="0" w:color="auto"/>
            </w:tcBorders>
            <w:shd w:val="clear" w:color="auto" w:fill="FFFFFF"/>
          </w:tcPr>
          <w:p w14:paraId="03948BB4" w14:textId="1AD95863"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0.34</w:t>
            </w:r>
          </w:p>
        </w:tc>
        <w:tc>
          <w:tcPr>
            <w:tcW w:w="680" w:type="dxa"/>
            <w:tcBorders>
              <w:top w:val="single" w:sz="4" w:space="0" w:color="auto"/>
            </w:tcBorders>
            <w:shd w:val="clear" w:color="auto" w:fill="FFFFFF"/>
          </w:tcPr>
          <w:p w14:paraId="74C025F2" w14:textId="4B21D913"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0.06</w:t>
            </w:r>
          </w:p>
        </w:tc>
        <w:tc>
          <w:tcPr>
            <w:tcW w:w="680" w:type="dxa"/>
            <w:tcBorders>
              <w:top w:val="single" w:sz="4" w:space="0" w:color="auto"/>
            </w:tcBorders>
            <w:shd w:val="clear" w:color="auto" w:fill="FFFFFF"/>
          </w:tcPr>
          <w:p w14:paraId="0A7C9F8A" w14:textId="7285B06A"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0.25</w:t>
            </w:r>
          </w:p>
        </w:tc>
        <w:tc>
          <w:tcPr>
            <w:tcW w:w="680" w:type="dxa"/>
            <w:tcBorders>
              <w:top w:val="single" w:sz="4" w:space="0" w:color="auto"/>
            </w:tcBorders>
            <w:shd w:val="clear" w:color="auto" w:fill="FFFFFF"/>
          </w:tcPr>
          <w:p w14:paraId="6A0136E4" w14:textId="778C76A0"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-0.20</w:t>
            </w:r>
          </w:p>
        </w:tc>
      </w:tr>
      <w:tr w:rsidR="004D4C57" w:rsidRPr="004D4C57" w14:paraId="5471C7A9" w14:textId="77777777" w:rsidTr="00E21118">
        <w:trPr>
          <w:cantSplit/>
          <w:tblHeader/>
        </w:trPr>
        <w:tc>
          <w:tcPr>
            <w:tcW w:w="3119" w:type="dxa"/>
            <w:tcBorders>
              <w:bottom w:val="single" w:sz="4" w:space="0" w:color="auto"/>
            </w:tcBorders>
            <w:shd w:val="clear" w:color="auto" w:fill="FFFFFF"/>
          </w:tcPr>
          <w:p w14:paraId="604264AE" w14:textId="19DD3DA0" w:rsidR="00A05877" w:rsidRPr="004D4C57" w:rsidRDefault="00A05877" w:rsidP="00C84093">
            <w:pPr>
              <w:widowControl w:val="0"/>
              <w:autoSpaceDE w:val="0"/>
              <w:autoSpaceDN w:val="0"/>
              <w:adjustRightInd w:val="0"/>
              <w:spacing w:after="60"/>
              <w:ind w:left="284" w:right="62"/>
              <w:rPr>
                <w:i/>
                <w:color w:val="000000" w:themeColor="text1"/>
                <w:szCs w:val="24"/>
              </w:rPr>
            </w:pPr>
            <w:r w:rsidRPr="004D4C57">
              <w:rPr>
                <w:i/>
                <w:color w:val="000000" w:themeColor="text1"/>
                <w:szCs w:val="24"/>
              </w:rPr>
              <w:t xml:space="preserve">SD </w:t>
            </w:r>
            <w:r w:rsidRPr="004D4C57">
              <w:rPr>
                <w:iCs/>
                <w:color w:val="000000" w:themeColor="text1"/>
                <w:szCs w:val="24"/>
              </w:rPr>
              <w:t>(female)</w:t>
            </w:r>
          </w:p>
        </w:tc>
        <w:tc>
          <w:tcPr>
            <w:tcW w:w="680" w:type="dxa"/>
            <w:tcBorders>
              <w:bottom w:val="single" w:sz="4" w:space="0" w:color="auto"/>
            </w:tcBorders>
            <w:shd w:val="clear" w:color="auto" w:fill="FFFFFF"/>
          </w:tcPr>
          <w:p w14:paraId="6E1D441F" w14:textId="37464B76"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5.77</w:t>
            </w:r>
          </w:p>
        </w:tc>
        <w:tc>
          <w:tcPr>
            <w:tcW w:w="680" w:type="dxa"/>
            <w:tcBorders>
              <w:bottom w:val="single" w:sz="4" w:space="0" w:color="auto"/>
            </w:tcBorders>
            <w:shd w:val="clear" w:color="auto" w:fill="FFFFFF"/>
          </w:tcPr>
          <w:p w14:paraId="73CB3C17" w14:textId="0C7C6788" w:rsidR="00A05877" w:rsidRPr="004D4C57" w:rsidRDefault="0007782A"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56CD2EAC" w14:textId="7ADA412D" w:rsidR="00A05877" w:rsidRPr="004D4C57" w:rsidRDefault="0007782A"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1884611E" w14:textId="0BDCC613"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60609</w:t>
            </w:r>
          </w:p>
        </w:tc>
        <w:tc>
          <w:tcPr>
            <w:tcW w:w="680" w:type="dxa"/>
            <w:tcBorders>
              <w:bottom w:val="single" w:sz="4" w:space="0" w:color="auto"/>
            </w:tcBorders>
            <w:shd w:val="clear" w:color="auto" w:fill="FFFFFF"/>
          </w:tcPr>
          <w:p w14:paraId="298E6D34" w14:textId="71C06563" w:rsidR="00A05877" w:rsidRPr="004D4C57" w:rsidRDefault="0007782A"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58002B4C" w14:textId="77309B05" w:rsidR="00A05877" w:rsidRPr="004D4C57" w:rsidRDefault="000D66DD"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1.34</w:t>
            </w:r>
          </w:p>
        </w:tc>
        <w:tc>
          <w:tcPr>
            <w:tcW w:w="680" w:type="dxa"/>
            <w:tcBorders>
              <w:bottom w:val="single" w:sz="4" w:space="0" w:color="auto"/>
            </w:tcBorders>
            <w:shd w:val="clear" w:color="auto" w:fill="FFFFFF"/>
          </w:tcPr>
          <w:p w14:paraId="1989E06C" w14:textId="6C6443E9" w:rsidR="00A05877" w:rsidRPr="004D4C57" w:rsidRDefault="0007782A"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59735298" w14:textId="06991D17"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0.62</w:t>
            </w:r>
          </w:p>
        </w:tc>
        <w:tc>
          <w:tcPr>
            <w:tcW w:w="680" w:type="dxa"/>
            <w:tcBorders>
              <w:bottom w:val="single" w:sz="4" w:space="0" w:color="auto"/>
            </w:tcBorders>
            <w:shd w:val="clear" w:color="auto" w:fill="FFFFFF"/>
          </w:tcPr>
          <w:p w14:paraId="3834765F" w14:textId="1FCA7F35"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0.95</w:t>
            </w:r>
          </w:p>
        </w:tc>
        <w:tc>
          <w:tcPr>
            <w:tcW w:w="680" w:type="dxa"/>
            <w:tcBorders>
              <w:bottom w:val="single" w:sz="4" w:space="0" w:color="auto"/>
            </w:tcBorders>
            <w:shd w:val="clear" w:color="auto" w:fill="FFFFFF"/>
          </w:tcPr>
          <w:p w14:paraId="4FADFC98" w14:textId="1BAE1568"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0.60</w:t>
            </w:r>
          </w:p>
        </w:tc>
        <w:tc>
          <w:tcPr>
            <w:tcW w:w="680" w:type="dxa"/>
            <w:tcBorders>
              <w:bottom w:val="single" w:sz="4" w:space="0" w:color="auto"/>
            </w:tcBorders>
            <w:shd w:val="clear" w:color="auto" w:fill="FFFFFF"/>
          </w:tcPr>
          <w:p w14:paraId="60C02424" w14:textId="3343969F"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0.96</w:t>
            </w:r>
          </w:p>
        </w:tc>
        <w:tc>
          <w:tcPr>
            <w:tcW w:w="680" w:type="dxa"/>
            <w:tcBorders>
              <w:bottom w:val="single" w:sz="4" w:space="0" w:color="auto"/>
            </w:tcBorders>
            <w:shd w:val="clear" w:color="auto" w:fill="FFFFFF"/>
          </w:tcPr>
          <w:p w14:paraId="46375983" w14:textId="62832BB4" w:rsidR="00A05877" w:rsidRPr="004D4C57" w:rsidRDefault="007D32E8" w:rsidP="00C84093">
            <w:pPr>
              <w:widowControl w:val="0"/>
              <w:autoSpaceDE w:val="0"/>
              <w:autoSpaceDN w:val="0"/>
              <w:adjustRightInd w:val="0"/>
              <w:spacing w:after="60"/>
              <w:ind w:right="62"/>
              <w:jc w:val="center"/>
              <w:rPr>
                <w:color w:val="000000" w:themeColor="text1"/>
                <w:szCs w:val="24"/>
              </w:rPr>
            </w:pPr>
            <w:r w:rsidRPr="004D4C57">
              <w:rPr>
                <w:color w:val="000000" w:themeColor="text1"/>
                <w:szCs w:val="24"/>
              </w:rPr>
              <w:t>0.64</w:t>
            </w:r>
          </w:p>
        </w:tc>
      </w:tr>
      <w:tr w:rsidR="004D4C57" w:rsidRPr="004D4C57" w14:paraId="557FE13C" w14:textId="77777777" w:rsidTr="00E21118">
        <w:trPr>
          <w:cantSplit/>
          <w:tblHeader/>
        </w:trPr>
        <w:tc>
          <w:tcPr>
            <w:tcW w:w="3119" w:type="dxa"/>
            <w:tcBorders>
              <w:top w:val="single" w:sz="4" w:space="0" w:color="auto"/>
            </w:tcBorders>
            <w:shd w:val="clear" w:color="auto" w:fill="FFFFFF"/>
          </w:tcPr>
          <w:p w14:paraId="2C058CC4" w14:textId="1CA5A988" w:rsidR="0007782A" w:rsidRPr="004D4C57" w:rsidRDefault="0007782A" w:rsidP="0007782A">
            <w:pPr>
              <w:widowControl w:val="0"/>
              <w:autoSpaceDE w:val="0"/>
              <w:autoSpaceDN w:val="0"/>
              <w:adjustRightInd w:val="0"/>
              <w:spacing w:after="60"/>
              <w:ind w:left="284" w:right="62"/>
              <w:rPr>
                <w:i/>
                <w:color w:val="000000" w:themeColor="text1"/>
                <w:szCs w:val="24"/>
              </w:rPr>
            </w:pPr>
            <w:r w:rsidRPr="004D4C57">
              <w:rPr>
                <w:i/>
                <w:color w:val="000000" w:themeColor="text1"/>
                <w:szCs w:val="24"/>
              </w:rPr>
              <w:t xml:space="preserve">M </w:t>
            </w:r>
            <w:r w:rsidRPr="004D4C57">
              <w:rPr>
                <w:iCs/>
                <w:color w:val="000000" w:themeColor="text1"/>
                <w:szCs w:val="24"/>
              </w:rPr>
              <w:t>(male)</w:t>
            </w:r>
          </w:p>
        </w:tc>
        <w:tc>
          <w:tcPr>
            <w:tcW w:w="680" w:type="dxa"/>
            <w:tcBorders>
              <w:top w:val="single" w:sz="4" w:space="0" w:color="auto"/>
            </w:tcBorders>
            <w:shd w:val="clear" w:color="auto" w:fill="FFFFFF"/>
          </w:tcPr>
          <w:p w14:paraId="6BF60408" w14:textId="4616BC72"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57.35</w:t>
            </w:r>
          </w:p>
        </w:tc>
        <w:tc>
          <w:tcPr>
            <w:tcW w:w="680" w:type="dxa"/>
            <w:tcBorders>
              <w:top w:val="single" w:sz="4" w:space="0" w:color="auto"/>
            </w:tcBorders>
            <w:shd w:val="clear" w:color="auto" w:fill="FFFFFF"/>
          </w:tcPr>
          <w:p w14:paraId="58059606" w14:textId="1B9C80A2"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top w:val="single" w:sz="4" w:space="0" w:color="auto"/>
            </w:tcBorders>
            <w:shd w:val="clear" w:color="auto" w:fill="FFFFFF"/>
          </w:tcPr>
          <w:p w14:paraId="69594C67" w14:textId="7CC2EE4B"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0.81</w:t>
            </w:r>
          </w:p>
        </w:tc>
        <w:tc>
          <w:tcPr>
            <w:tcW w:w="680" w:type="dxa"/>
            <w:tcBorders>
              <w:top w:val="single" w:sz="4" w:space="0" w:color="auto"/>
            </w:tcBorders>
            <w:shd w:val="clear" w:color="auto" w:fill="FFFFFF"/>
          </w:tcPr>
          <w:p w14:paraId="21D4FEA9" w14:textId="1D451F27"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99394</w:t>
            </w:r>
          </w:p>
        </w:tc>
        <w:tc>
          <w:tcPr>
            <w:tcW w:w="680" w:type="dxa"/>
            <w:tcBorders>
              <w:top w:val="single" w:sz="4" w:space="0" w:color="auto"/>
            </w:tcBorders>
            <w:shd w:val="clear" w:color="auto" w:fill="FFFFFF"/>
          </w:tcPr>
          <w:p w14:paraId="033A5AD0" w14:textId="5C25A7EE"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0.54</w:t>
            </w:r>
          </w:p>
        </w:tc>
        <w:tc>
          <w:tcPr>
            <w:tcW w:w="680" w:type="dxa"/>
            <w:tcBorders>
              <w:top w:val="single" w:sz="4" w:space="0" w:color="auto"/>
            </w:tcBorders>
            <w:shd w:val="clear" w:color="auto" w:fill="FFFFFF"/>
          </w:tcPr>
          <w:p w14:paraId="70BA80A0" w14:textId="35928A51"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7.75</w:t>
            </w:r>
          </w:p>
        </w:tc>
        <w:tc>
          <w:tcPr>
            <w:tcW w:w="680" w:type="dxa"/>
            <w:tcBorders>
              <w:top w:val="single" w:sz="4" w:space="0" w:color="auto"/>
            </w:tcBorders>
            <w:shd w:val="clear" w:color="auto" w:fill="FFFFFF"/>
          </w:tcPr>
          <w:p w14:paraId="3DE57AA1" w14:textId="4FEE413C"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0.39</w:t>
            </w:r>
          </w:p>
        </w:tc>
        <w:tc>
          <w:tcPr>
            <w:tcW w:w="680" w:type="dxa"/>
            <w:tcBorders>
              <w:top w:val="single" w:sz="4" w:space="0" w:color="auto"/>
            </w:tcBorders>
            <w:shd w:val="clear" w:color="auto" w:fill="FFFFFF"/>
          </w:tcPr>
          <w:p w14:paraId="279E50AD" w14:textId="0104C885"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2.02</w:t>
            </w:r>
          </w:p>
        </w:tc>
        <w:tc>
          <w:tcPr>
            <w:tcW w:w="680" w:type="dxa"/>
            <w:tcBorders>
              <w:top w:val="single" w:sz="4" w:space="0" w:color="auto"/>
            </w:tcBorders>
            <w:shd w:val="clear" w:color="auto" w:fill="FFFFFF"/>
          </w:tcPr>
          <w:p w14:paraId="7F89BCAF" w14:textId="7A350BDA"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-0.09</w:t>
            </w:r>
          </w:p>
        </w:tc>
        <w:tc>
          <w:tcPr>
            <w:tcW w:w="680" w:type="dxa"/>
            <w:tcBorders>
              <w:top w:val="single" w:sz="4" w:space="0" w:color="auto"/>
            </w:tcBorders>
            <w:shd w:val="clear" w:color="auto" w:fill="FFFFFF"/>
          </w:tcPr>
          <w:p w14:paraId="62187C7C" w14:textId="6E9BF86E"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0.23</w:t>
            </w:r>
          </w:p>
        </w:tc>
        <w:tc>
          <w:tcPr>
            <w:tcW w:w="680" w:type="dxa"/>
            <w:tcBorders>
              <w:top w:val="single" w:sz="4" w:space="0" w:color="auto"/>
            </w:tcBorders>
            <w:shd w:val="clear" w:color="auto" w:fill="FFFFFF"/>
          </w:tcPr>
          <w:p w14:paraId="606C8513" w14:textId="1330445C"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-0.28</w:t>
            </w:r>
          </w:p>
        </w:tc>
        <w:tc>
          <w:tcPr>
            <w:tcW w:w="680" w:type="dxa"/>
            <w:tcBorders>
              <w:top w:val="single" w:sz="4" w:space="0" w:color="auto"/>
            </w:tcBorders>
            <w:shd w:val="clear" w:color="auto" w:fill="FFFFFF"/>
          </w:tcPr>
          <w:p w14:paraId="3E3A168C" w14:textId="47C1A8AC"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0.00</w:t>
            </w:r>
          </w:p>
        </w:tc>
      </w:tr>
      <w:tr w:rsidR="004D4C57" w:rsidRPr="004D4C57" w14:paraId="0E279790" w14:textId="77777777" w:rsidTr="00A05877">
        <w:trPr>
          <w:cantSplit/>
          <w:tblHeader/>
        </w:trPr>
        <w:tc>
          <w:tcPr>
            <w:tcW w:w="3119" w:type="dxa"/>
            <w:tcBorders>
              <w:bottom w:val="single" w:sz="4" w:space="0" w:color="auto"/>
            </w:tcBorders>
            <w:shd w:val="clear" w:color="auto" w:fill="FFFFFF"/>
          </w:tcPr>
          <w:p w14:paraId="25F0959D" w14:textId="1A657670" w:rsidR="0007782A" w:rsidRPr="004D4C57" w:rsidRDefault="0007782A" w:rsidP="0007782A">
            <w:pPr>
              <w:widowControl w:val="0"/>
              <w:autoSpaceDE w:val="0"/>
              <w:autoSpaceDN w:val="0"/>
              <w:adjustRightInd w:val="0"/>
              <w:spacing w:after="60"/>
              <w:ind w:left="284" w:right="62"/>
              <w:rPr>
                <w:i/>
                <w:color w:val="000000" w:themeColor="text1"/>
                <w:szCs w:val="24"/>
              </w:rPr>
            </w:pPr>
            <w:r w:rsidRPr="004D4C57">
              <w:rPr>
                <w:i/>
                <w:color w:val="000000" w:themeColor="text1"/>
                <w:szCs w:val="24"/>
              </w:rPr>
              <w:t xml:space="preserve">SD </w:t>
            </w:r>
            <w:r w:rsidRPr="004D4C57">
              <w:rPr>
                <w:iCs/>
                <w:color w:val="000000" w:themeColor="text1"/>
                <w:szCs w:val="24"/>
              </w:rPr>
              <w:t>(male)</w:t>
            </w:r>
          </w:p>
        </w:tc>
        <w:tc>
          <w:tcPr>
            <w:tcW w:w="680" w:type="dxa"/>
            <w:tcBorders>
              <w:bottom w:val="single" w:sz="4" w:space="0" w:color="auto"/>
            </w:tcBorders>
            <w:shd w:val="clear" w:color="auto" w:fill="FFFFFF"/>
          </w:tcPr>
          <w:p w14:paraId="19A86135" w14:textId="27E69800"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5.76</w:t>
            </w:r>
          </w:p>
        </w:tc>
        <w:tc>
          <w:tcPr>
            <w:tcW w:w="680" w:type="dxa"/>
            <w:tcBorders>
              <w:bottom w:val="single" w:sz="4" w:space="0" w:color="auto"/>
            </w:tcBorders>
            <w:shd w:val="clear" w:color="auto" w:fill="FFFFFF"/>
          </w:tcPr>
          <w:p w14:paraId="6BA5F86E" w14:textId="5DFF917B"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59388D6B" w14:textId="5D3CA6DD"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69962CA4" w14:textId="13FE0338"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70529</w:t>
            </w:r>
          </w:p>
        </w:tc>
        <w:tc>
          <w:tcPr>
            <w:tcW w:w="680" w:type="dxa"/>
            <w:tcBorders>
              <w:bottom w:val="single" w:sz="4" w:space="0" w:color="auto"/>
            </w:tcBorders>
            <w:shd w:val="clear" w:color="auto" w:fill="FFFFFF"/>
          </w:tcPr>
          <w:p w14:paraId="413B8990" w14:textId="2BA84734"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24192810" w14:textId="0044D43F"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1.27</w:t>
            </w:r>
          </w:p>
        </w:tc>
        <w:tc>
          <w:tcPr>
            <w:tcW w:w="680" w:type="dxa"/>
            <w:tcBorders>
              <w:bottom w:val="single" w:sz="4" w:space="0" w:color="auto"/>
            </w:tcBorders>
            <w:shd w:val="clear" w:color="auto" w:fill="FFFFFF"/>
          </w:tcPr>
          <w:p w14:paraId="7422C3FA" w14:textId="7941CD0C"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w:t>
            </w:r>
          </w:p>
        </w:tc>
        <w:tc>
          <w:tcPr>
            <w:tcW w:w="680" w:type="dxa"/>
            <w:tcBorders>
              <w:bottom w:val="single" w:sz="4" w:space="0" w:color="auto"/>
            </w:tcBorders>
            <w:shd w:val="clear" w:color="auto" w:fill="FFFFFF"/>
          </w:tcPr>
          <w:p w14:paraId="74C549AD" w14:textId="16C2928F"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0.60</w:t>
            </w:r>
          </w:p>
        </w:tc>
        <w:tc>
          <w:tcPr>
            <w:tcW w:w="680" w:type="dxa"/>
            <w:tcBorders>
              <w:bottom w:val="single" w:sz="4" w:space="0" w:color="auto"/>
            </w:tcBorders>
            <w:shd w:val="clear" w:color="auto" w:fill="FFFFFF"/>
          </w:tcPr>
          <w:p w14:paraId="4FA8556D" w14:textId="056331F5"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0.81</w:t>
            </w:r>
          </w:p>
        </w:tc>
        <w:tc>
          <w:tcPr>
            <w:tcW w:w="680" w:type="dxa"/>
            <w:tcBorders>
              <w:bottom w:val="single" w:sz="4" w:space="0" w:color="auto"/>
            </w:tcBorders>
            <w:shd w:val="clear" w:color="auto" w:fill="FFFFFF"/>
          </w:tcPr>
          <w:p w14:paraId="07E21FE0" w14:textId="3221163B"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0.59</w:t>
            </w:r>
          </w:p>
        </w:tc>
        <w:tc>
          <w:tcPr>
            <w:tcW w:w="680" w:type="dxa"/>
            <w:tcBorders>
              <w:bottom w:val="single" w:sz="4" w:space="0" w:color="auto"/>
            </w:tcBorders>
            <w:shd w:val="clear" w:color="auto" w:fill="FFFFFF"/>
          </w:tcPr>
          <w:p w14:paraId="08ED8FB9" w14:textId="6B70B522"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0.78</w:t>
            </w:r>
          </w:p>
        </w:tc>
        <w:tc>
          <w:tcPr>
            <w:tcW w:w="680" w:type="dxa"/>
            <w:tcBorders>
              <w:bottom w:val="single" w:sz="4" w:space="0" w:color="auto"/>
            </w:tcBorders>
            <w:shd w:val="clear" w:color="auto" w:fill="FFFFFF"/>
          </w:tcPr>
          <w:p w14:paraId="1CAF5A4A" w14:textId="029D6574" w:rsidR="0007782A" w:rsidRPr="004D4C57" w:rsidRDefault="0007782A" w:rsidP="0007782A">
            <w:pPr>
              <w:widowControl w:val="0"/>
              <w:autoSpaceDE w:val="0"/>
              <w:autoSpaceDN w:val="0"/>
              <w:adjustRightInd w:val="0"/>
              <w:spacing w:after="60"/>
              <w:ind w:right="62"/>
              <w:jc w:val="center"/>
              <w:rPr>
                <w:color w:val="000000" w:themeColor="text1"/>
                <w:szCs w:val="24"/>
              </w:rPr>
            </w:pPr>
            <w:r w:rsidRPr="004D4C57">
              <w:rPr>
                <w:color w:val="000000" w:themeColor="text1"/>
                <w:szCs w:val="24"/>
              </w:rPr>
              <w:t>0.63</w:t>
            </w:r>
          </w:p>
        </w:tc>
      </w:tr>
    </w:tbl>
    <w:p w14:paraId="39609983" w14:textId="77777777" w:rsidR="00DC0A86" w:rsidRPr="004D4C57" w:rsidRDefault="00DC0A86" w:rsidP="00DC0A86">
      <w:pPr>
        <w:widowControl w:val="0"/>
        <w:rPr>
          <w:color w:val="000000" w:themeColor="text1"/>
          <w:sz w:val="20"/>
          <w:vertAlign w:val="superscript"/>
        </w:rPr>
      </w:pPr>
    </w:p>
    <w:p w14:paraId="6D888C96" w14:textId="676B1AA4" w:rsidR="00DC0A86" w:rsidRPr="004D4C57" w:rsidRDefault="00DC0A86" w:rsidP="00E21118">
      <w:pPr>
        <w:spacing w:line="480" w:lineRule="auto"/>
        <w:rPr>
          <w:color w:val="000000" w:themeColor="text1"/>
        </w:rPr>
      </w:pPr>
      <w:r w:rsidRPr="004D4C57">
        <w:rPr>
          <w:i/>
          <w:color w:val="000000" w:themeColor="text1"/>
          <w:szCs w:val="24"/>
        </w:rPr>
        <w:t xml:space="preserve">Note. </w:t>
      </w:r>
      <w:r w:rsidR="00827BDC" w:rsidRPr="004D4C57">
        <w:rPr>
          <w:color w:val="000000" w:themeColor="text1"/>
          <w:szCs w:val="24"/>
        </w:rPr>
        <w:t>M2</w:t>
      </w:r>
      <w:r w:rsidRPr="004D4C57">
        <w:rPr>
          <w:color w:val="000000" w:themeColor="text1"/>
          <w:szCs w:val="24"/>
        </w:rPr>
        <w:t xml:space="preserve"> =</w:t>
      </w:r>
      <w:r w:rsidR="00827BDC" w:rsidRPr="004D4C57">
        <w:rPr>
          <w:color w:val="000000" w:themeColor="text1"/>
          <w:szCs w:val="24"/>
        </w:rPr>
        <w:t xml:space="preserve"> MIDUS 2</w:t>
      </w:r>
      <w:r w:rsidRPr="004D4C57">
        <w:rPr>
          <w:color w:val="000000" w:themeColor="text1"/>
          <w:szCs w:val="24"/>
        </w:rPr>
        <w:t xml:space="preserve">. </w:t>
      </w:r>
      <w:r w:rsidR="00827BDC" w:rsidRPr="004D4C57">
        <w:rPr>
          <w:color w:val="000000" w:themeColor="text1"/>
          <w:szCs w:val="24"/>
        </w:rPr>
        <w:t>M3</w:t>
      </w:r>
      <w:r w:rsidRPr="004D4C57">
        <w:rPr>
          <w:color w:val="000000" w:themeColor="text1"/>
          <w:szCs w:val="24"/>
        </w:rPr>
        <w:t xml:space="preserve"> = </w:t>
      </w:r>
      <w:r w:rsidR="00827BDC" w:rsidRPr="004D4C57">
        <w:rPr>
          <w:color w:val="000000" w:themeColor="text1"/>
          <w:szCs w:val="24"/>
        </w:rPr>
        <w:t>MIDUS 3</w:t>
      </w:r>
      <w:r w:rsidRPr="004D4C57">
        <w:rPr>
          <w:color w:val="000000" w:themeColor="text1"/>
          <w:szCs w:val="24"/>
        </w:rPr>
        <w:t xml:space="preserve">. </w:t>
      </w:r>
      <w:r w:rsidR="002D0634" w:rsidRPr="004D4C57">
        <w:rPr>
          <w:color w:val="000000" w:themeColor="text1"/>
          <w:szCs w:val="24"/>
        </w:rPr>
        <w:t xml:space="preserve">M2-M3 </w:t>
      </w:r>
      <w:r w:rsidR="002D0634" w:rsidRPr="004D4C57">
        <w:rPr>
          <w:color w:val="000000" w:themeColor="text1"/>
        </w:rPr>
        <w:t xml:space="preserve">Retirement status (0 = </w:t>
      </w:r>
      <w:r w:rsidR="002D0634" w:rsidRPr="004D4C57">
        <w:rPr>
          <w:i/>
          <w:color w:val="000000" w:themeColor="text1"/>
        </w:rPr>
        <w:t>working at MIDUS 2 and 3</w:t>
      </w:r>
      <w:r w:rsidR="002D0634" w:rsidRPr="004D4C57">
        <w:rPr>
          <w:color w:val="000000" w:themeColor="text1"/>
        </w:rPr>
        <w:t xml:space="preserve">, 1 = </w:t>
      </w:r>
      <w:r w:rsidR="002D0634" w:rsidRPr="004D4C57">
        <w:rPr>
          <w:i/>
          <w:color w:val="000000" w:themeColor="text1"/>
        </w:rPr>
        <w:t>working at MIDUS 2 and retired at MIDUS 3</w:t>
      </w:r>
      <w:r w:rsidR="002D0634" w:rsidRPr="004D4C57">
        <w:rPr>
          <w:color w:val="000000" w:themeColor="text1"/>
        </w:rPr>
        <w:t xml:space="preserve">). </w:t>
      </w:r>
      <w:r w:rsidRPr="004D4C57">
        <w:rPr>
          <w:color w:val="000000" w:themeColor="text1"/>
          <w:szCs w:val="24"/>
        </w:rPr>
        <w:t xml:space="preserve">All correlations above </w:t>
      </w:r>
      <w:r w:rsidR="00D841E0" w:rsidRPr="004D4C57">
        <w:rPr>
          <w:color w:val="000000" w:themeColor="text1"/>
          <w:szCs w:val="24"/>
        </w:rPr>
        <w:t>|</w:t>
      </w:r>
      <w:r w:rsidRPr="004D4C57">
        <w:rPr>
          <w:color w:val="000000" w:themeColor="text1"/>
          <w:szCs w:val="24"/>
        </w:rPr>
        <w:t>.</w:t>
      </w:r>
      <w:r w:rsidR="00D841E0" w:rsidRPr="004D4C57">
        <w:rPr>
          <w:color w:val="000000" w:themeColor="text1"/>
          <w:szCs w:val="24"/>
        </w:rPr>
        <w:t>09|</w:t>
      </w:r>
      <w:r w:rsidRPr="004D4C57">
        <w:rPr>
          <w:color w:val="000000" w:themeColor="text1"/>
          <w:szCs w:val="24"/>
        </w:rPr>
        <w:t xml:space="preserve"> are significant at </w:t>
      </w:r>
      <w:r w:rsidRPr="004D4C57">
        <w:rPr>
          <w:i/>
          <w:color w:val="000000" w:themeColor="text1"/>
          <w:szCs w:val="24"/>
        </w:rPr>
        <w:t>p</w:t>
      </w:r>
      <w:r w:rsidRPr="004D4C57">
        <w:rPr>
          <w:color w:val="000000" w:themeColor="text1"/>
          <w:szCs w:val="24"/>
        </w:rPr>
        <w:t xml:space="preserve"> </w:t>
      </w:r>
      <w:r w:rsidR="00183D9C" w:rsidRPr="004D4C57">
        <w:rPr>
          <w:rFonts w:eastAsia="Helvetica"/>
          <w:color w:val="000000" w:themeColor="text1"/>
          <w:szCs w:val="24"/>
        </w:rPr>
        <w:t xml:space="preserve">&lt; </w:t>
      </w:r>
      <w:r w:rsidRPr="004D4C57">
        <w:rPr>
          <w:rFonts w:eastAsia="Helvetica"/>
          <w:color w:val="000000" w:themeColor="text1"/>
          <w:szCs w:val="24"/>
        </w:rPr>
        <w:t>.0</w:t>
      </w:r>
      <w:r w:rsidR="00183D9C" w:rsidRPr="004D4C57">
        <w:rPr>
          <w:rFonts w:eastAsia="Helvetica"/>
          <w:color w:val="000000" w:themeColor="text1"/>
          <w:szCs w:val="24"/>
        </w:rPr>
        <w:t>5</w:t>
      </w:r>
      <w:r w:rsidRPr="004D4C57">
        <w:rPr>
          <w:rFonts w:eastAsia="Helvetica"/>
          <w:color w:val="000000" w:themeColor="text1"/>
          <w:szCs w:val="24"/>
        </w:rPr>
        <w:t xml:space="preserve"> (two-tailed tests)</w:t>
      </w:r>
      <w:r w:rsidRPr="004D4C57">
        <w:rPr>
          <w:color w:val="000000" w:themeColor="text1"/>
          <w:szCs w:val="24"/>
        </w:rPr>
        <w:t>.</w:t>
      </w:r>
      <w:r w:rsidR="00AA05D7" w:rsidRPr="004D4C57">
        <w:rPr>
          <w:color w:val="000000" w:themeColor="text1"/>
          <w:szCs w:val="24"/>
        </w:rPr>
        <w:t xml:space="preserve"> Correlations </w:t>
      </w:r>
      <w:r w:rsidR="008B6A27" w:rsidRPr="004D4C57">
        <w:rPr>
          <w:color w:val="000000" w:themeColor="text1"/>
          <w:szCs w:val="24"/>
        </w:rPr>
        <w:t>below</w:t>
      </w:r>
      <w:r w:rsidR="00D65FE6" w:rsidRPr="004D4C57">
        <w:rPr>
          <w:color w:val="000000" w:themeColor="text1"/>
          <w:szCs w:val="24"/>
        </w:rPr>
        <w:t xml:space="preserve"> the diagonal </w:t>
      </w:r>
      <w:r w:rsidR="00AA05D7" w:rsidRPr="004D4C57">
        <w:rPr>
          <w:color w:val="000000" w:themeColor="text1"/>
          <w:szCs w:val="24"/>
        </w:rPr>
        <w:t>are based on the pre-matched sample (</w:t>
      </w:r>
      <w:r w:rsidR="00AA05D7" w:rsidRPr="004D4C57">
        <w:rPr>
          <w:i/>
          <w:iCs/>
          <w:color w:val="000000" w:themeColor="text1"/>
          <w:szCs w:val="24"/>
        </w:rPr>
        <w:t xml:space="preserve">n </w:t>
      </w:r>
      <w:r w:rsidR="00AA05D7" w:rsidRPr="004D4C57">
        <w:rPr>
          <w:color w:val="000000" w:themeColor="text1"/>
          <w:szCs w:val="24"/>
        </w:rPr>
        <w:t xml:space="preserve">= </w:t>
      </w:r>
      <w:r w:rsidR="003D545A" w:rsidRPr="004D4C57">
        <w:rPr>
          <w:color w:val="000000" w:themeColor="text1"/>
          <w:szCs w:val="24"/>
        </w:rPr>
        <w:t>732)</w:t>
      </w:r>
      <w:r w:rsidR="00D65FE6" w:rsidRPr="004D4C57">
        <w:rPr>
          <w:color w:val="000000" w:themeColor="text1"/>
          <w:szCs w:val="24"/>
        </w:rPr>
        <w:t xml:space="preserve">, and correlations </w:t>
      </w:r>
      <w:r w:rsidR="008B6A27" w:rsidRPr="004D4C57">
        <w:rPr>
          <w:color w:val="000000" w:themeColor="text1"/>
          <w:szCs w:val="24"/>
        </w:rPr>
        <w:t>above</w:t>
      </w:r>
      <w:r w:rsidR="00D65FE6" w:rsidRPr="004D4C57">
        <w:rPr>
          <w:color w:val="000000" w:themeColor="text1"/>
          <w:szCs w:val="24"/>
        </w:rPr>
        <w:t xml:space="preserve"> the diagonal are based on the post-matched sample (</w:t>
      </w:r>
      <w:r w:rsidR="00D65FE6" w:rsidRPr="004D4C57">
        <w:rPr>
          <w:i/>
          <w:iCs/>
          <w:color w:val="000000" w:themeColor="text1"/>
          <w:szCs w:val="24"/>
        </w:rPr>
        <w:t xml:space="preserve">n </w:t>
      </w:r>
      <w:r w:rsidR="00D65FE6" w:rsidRPr="004D4C57">
        <w:rPr>
          <w:color w:val="000000" w:themeColor="text1"/>
          <w:szCs w:val="24"/>
        </w:rPr>
        <w:t>= 536)</w:t>
      </w:r>
      <w:r w:rsidR="003D545A" w:rsidRPr="004D4C57">
        <w:rPr>
          <w:color w:val="000000" w:themeColor="text1"/>
          <w:szCs w:val="24"/>
        </w:rPr>
        <w:t>.</w:t>
      </w:r>
    </w:p>
    <w:p w14:paraId="54D7186A" w14:textId="1612E284" w:rsidR="00DC0A86" w:rsidRPr="004D4C57" w:rsidRDefault="00DC0A86">
      <w:pPr>
        <w:rPr>
          <w:color w:val="000000" w:themeColor="text1"/>
        </w:rPr>
        <w:sectPr w:rsidR="00DC0A86" w:rsidRPr="004D4C57" w:rsidSect="00DC0A86">
          <w:pgSz w:w="15840" w:h="12240" w:orient="landscape"/>
          <w:pgMar w:top="1440" w:right="1440" w:bottom="1440" w:left="1440" w:header="708" w:footer="708" w:gutter="0"/>
          <w:cols w:space="708"/>
          <w:docGrid w:linePitch="360"/>
        </w:sectPr>
      </w:pPr>
    </w:p>
    <w:p w14:paraId="69F1DE5F" w14:textId="0D08E99B" w:rsidR="002E072F" w:rsidRPr="004D4C57" w:rsidRDefault="00207336">
      <w:pPr>
        <w:rPr>
          <w:color w:val="000000" w:themeColor="text1"/>
        </w:rPr>
      </w:pPr>
      <w:r w:rsidRPr="004D4C57">
        <w:rPr>
          <w:color w:val="000000" w:themeColor="text1"/>
        </w:rPr>
        <w:lastRenderedPageBreak/>
        <w:t xml:space="preserve">Table </w:t>
      </w:r>
      <w:r w:rsidR="00DC0A86" w:rsidRPr="004D4C57">
        <w:rPr>
          <w:color w:val="000000" w:themeColor="text1"/>
        </w:rPr>
        <w:t>2</w:t>
      </w:r>
    </w:p>
    <w:p w14:paraId="16F4FF88" w14:textId="67E459E5" w:rsidR="00207336" w:rsidRPr="004D4C57" w:rsidRDefault="00207336">
      <w:pPr>
        <w:rPr>
          <w:color w:val="000000" w:themeColor="text1"/>
        </w:rPr>
      </w:pPr>
    </w:p>
    <w:p w14:paraId="3E59959C" w14:textId="5FE049D3" w:rsidR="00207336" w:rsidRPr="004D4C57" w:rsidRDefault="00207336">
      <w:pPr>
        <w:rPr>
          <w:i/>
          <w:color w:val="000000" w:themeColor="text1"/>
        </w:rPr>
      </w:pPr>
      <w:r w:rsidRPr="004D4C57">
        <w:rPr>
          <w:i/>
          <w:color w:val="000000" w:themeColor="text1"/>
        </w:rPr>
        <w:t>Regression Coefficients for 9-Year Cognitive Functioning in the Matched Samples</w:t>
      </w:r>
    </w:p>
    <w:p w14:paraId="0547AD33" w14:textId="77777777" w:rsidR="00207336" w:rsidRPr="004D4C57" w:rsidRDefault="00207336">
      <w:pPr>
        <w:rPr>
          <w:color w:val="000000" w:themeColor="text1"/>
        </w:rPr>
      </w:pPr>
    </w:p>
    <w:tbl>
      <w:tblPr>
        <w:tblW w:w="0" w:type="auto"/>
        <w:tblCellMar>
          <w:left w:w="0" w:type="dxa"/>
          <w:right w:w="0" w:type="dxa"/>
        </w:tblCellMar>
        <w:tblLook w:val="0420" w:firstRow="1" w:lastRow="0" w:firstColumn="0" w:lastColumn="0" w:noHBand="0" w:noVBand="1"/>
      </w:tblPr>
      <w:tblGrid>
        <w:gridCol w:w="2443"/>
        <w:gridCol w:w="294"/>
        <w:gridCol w:w="802"/>
        <w:gridCol w:w="925"/>
        <w:gridCol w:w="294"/>
        <w:gridCol w:w="978"/>
        <w:gridCol w:w="1127"/>
      </w:tblGrid>
      <w:tr w:rsidR="004D4C57" w:rsidRPr="004D4C57" w14:paraId="629EDD1A" w14:textId="77777777" w:rsidTr="008116BE">
        <w:trPr>
          <w:trHeight w:val="283"/>
        </w:trPr>
        <w:tc>
          <w:tcPr>
            <w:tcW w:w="0" w:type="auto"/>
            <w:tcBorders>
              <w:top w:val="single" w:sz="8" w:space="0" w:color="000000"/>
              <w:left w:val="nil"/>
              <w:bottom w:val="nil"/>
              <w:right w:val="nil"/>
            </w:tcBorders>
            <w:shd w:val="clear" w:color="auto" w:fill="FFFFFF"/>
            <w:tcMar>
              <w:top w:w="72" w:type="dxa"/>
              <w:left w:w="144" w:type="dxa"/>
              <w:bottom w:w="72" w:type="dxa"/>
              <w:right w:w="144" w:type="dxa"/>
            </w:tcMar>
            <w:hideMark/>
          </w:tcPr>
          <w:p w14:paraId="6DCD4EEC" w14:textId="77777777" w:rsidR="00FA0439" w:rsidRPr="004D4C57" w:rsidRDefault="00FA0439" w:rsidP="008116BE">
            <w:pPr>
              <w:rPr>
                <w:color w:val="000000" w:themeColor="text1"/>
                <w:sz w:val="20"/>
                <w:lang w:val="en-CA"/>
              </w:rPr>
            </w:pPr>
          </w:p>
        </w:tc>
        <w:tc>
          <w:tcPr>
            <w:tcW w:w="0" w:type="auto"/>
            <w:tcBorders>
              <w:top w:val="single" w:sz="8" w:space="0" w:color="000000"/>
              <w:left w:val="nil"/>
              <w:bottom w:val="nil"/>
              <w:right w:val="nil"/>
            </w:tcBorders>
            <w:shd w:val="clear" w:color="auto" w:fill="FFFFFF"/>
            <w:tcMar>
              <w:top w:w="72" w:type="dxa"/>
              <w:left w:w="144" w:type="dxa"/>
              <w:bottom w:w="72" w:type="dxa"/>
              <w:right w:w="144" w:type="dxa"/>
            </w:tcMar>
            <w:hideMark/>
          </w:tcPr>
          <w:p w14:paraId="24EB696A" w14:textId="77777777" w:rsidR="00FA0439" w:rsidRPr="004D4C57" w:rsidRDefault="00FA0439" w:rsidP="008116BE">
            <w:pPr>
              <w:rPr>
                <w:color w:val="000000" w:themeColor="text1"/>
                <w:sz w:val="20"/>
                <w:lang w:val="en-CA"/>
              </w:rPr>
            </w:pPr>
          </w:p>
        </w:tc>
        <w:tc>
          <w:tcPr>
            <w:tcW w:w="0" w:type="auto"/>
            <w:gridSpan w:val="2"/>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7637DC8C" w14:textId="77777777" w:rsidR="00FA0439" w:rsidRPr="004D4C57" w:rsidRDefault="00FA0439" w:rsidP="008116BE">
            <w:pPr>
              <w:rPr>
                <w:color w:val="000000" w:themeColor="text1"/>
                <w:sz w:val="20"/>
                <w:lang w:val="en-CA"/>
              </w:rPr>
            </w:pPr>
            <w:r w:rsidRPr="004D4C57">
              <w:rPr>
                <w:bCs/>
                <w:color w:val="000000" w:themeColor="text1"/>
                <w:sz w:val="20"/>
              </w:rPr>
              <w:t>Episodic Memory</w:t>
            </w:r>
          </w:p>
        </w:tc>
        <w:tc>
          <w:tcPr>
            <w:tcW w:w="0" w:type="auto"/>
            <w:tcBorders>
              <w:top w:val="single" w:sz="8" w:space="0" w:color="000000"/>
              <w:left w:val="nil"/>
              <w:bottom w:val="nil"/>
              <w:right w:val="nil"/>
            </w:tcBorders>
            <w:shd w:val="clear" w:color="auto" w:fill="FFFFFF"/>
            <w:tcMar>
              <w:top w:w="72" w:type="dxa"/>
              <w:left w:w="144" w:type="dxa"/>
              <w:bottom w:w="72" w:type="dxa"/>
              <w:right w:w="144" w:type="dxa"/>
            </w:tcMar>
            <w:hideMark/>
          </w:tcPr>
          <w:p w14:paraId="5814ED48" w14:textId="77777777" w:rsidR="00FA0439" w:rsidRPr="004D4C57" w:rsidRDefault="00FA0439" w:rsidP="008116BE">
            <w:pPr>
              <w:rPr>
                <w:color w:val="000000" w:themeColor="text1"/>
                <w:sz w:val="20"/>
                <w:lang w:val="en-CA"/>
              </w:rPr>
            </w:pPr>
          </w:p>
        </w:tc>
        <w:tc>
          <w:tcPr>
            <w:tcW w:w="0" w:type="auto"/>
            <w:gridSpan w:val="2"/>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35DFB7E7" w14:textId="77777777" w:rsidR="00FA0439" w:rsidRPr="004D4C57" w:rsidRDefault="00FA0439" w:rsidP="008116BE">
            <w:pPr>
              <w:rPr>
                <w:color w:val="000000" w:themeColor="text1"/>
                <w:sz w:val="20"/>
                <w:lang w:val="en-CA"/>
              </w:rPr>
            </w:pPr>
            <w:r w:rsidRPr="004D4C57">
              <w:rPr>
                <w:bCs/>
                <w:color w:val="000000" w:themeColor="text1"/>
                <w:sz w:val="20"/>
              </w:rPr>
              <w:t>Executive Functioning</w:t>
            </w:r>
          </w:p>
        </w:tc>
      </w:tr>
      <w:tr w:rsidR="004D4C57" w:rsidRPr="004D4C57" w14:paraId="407B87B5" w14:textId="77777777" w:rsidTr="008116BE">
        <w:trPr>
          <w:trHeight w:val="283"/>
        </w:trPr>
        <w:tc>
          <w:tcPr>
            <w:tcW w:w="0" w:type="auto"/>
            <w:tcBorders>
              <w:top w:val="nil"/>
              <w:left w:val="nil"/>
              <w:bottom w:val="single" w:sz="8" w:space="0" w:color="000000"/>
              <w:right w:val="nil"/>
            </w:tcBorders>
            <w:shd w:val="clear" w:color="auto" w:fill="FFFFFF"/>
            <w:tcMar>
              <w:top w:w="72" w:type="dxa"/>
              <w:left w:w="144" w:type="dxa"/>
              <w:bottom w:w="72" w:type="dxa"/>
              <w:right w:w="144" w:type="dxa"/>
            </w:tcMar>
            <w:hideMark/>
          </w:tcPr>
          <w:p w14:paraId="03951387" w14:textId="77777777" w:rsidR="00FA0439" w:rsidRPr="004D4C57" w:rsidRDefault="00FA0439" w:rsidP="008116BE">
            <w:pPr>
              <w:rPr>
                <w:color w:val="000000" w:themeColor="text1"/>
                <w:sz w:val="20"/>
                <w:lang w:val="en-CA"/>
              </w:rPr>
            </w:pPr>
            <w:r w:rsidRPr="004D4C57">
              <w:rPr>
                <w:bCs/>
                <w:color w:val="000000" w:themeColor="text1"/>
                <w:sz w:val="20"/>
              </w:rPr>
              <w:t>Predictor Variable</w:t>
            </w:r>
          </w:p>
        </w:tc>
        <w:tc>
          <w:tcPr>
            <w:tcW w:w="0" w:type="auto"/>
            <w:tcBorders>
              <w:top w:val="nil"/>
              <w:left w:val="nil"/>
              <w:bottom w:val="single" w:sz="8" w:space="0" w:color="000000"/>
              <w:right w:val="nil"/>
            </w:tcBorders>
            <w:shd w:val="clear" w:color="auto" w:fill="FFFFFF"/>
            <w:tcMar>
              <w:top w:w="72" w:type="dxa"/>
              <w:left w:w="144" w:type="dxa"/>
              <w:bottom w:w="72" w:type="dxa"/>
              <w:right w:w="144" w:type="dxa"/>
            </w:tcMar>
            <w:hideMark/>
          </w:tcPr>
          <w:p w14:paraId="05716B72" w14:textId="77777777" w:rsidR="00FA0439" w:rsidRPr="004D4C57" w:rsidRDefault="00FA0439" w:rsidP="008116BE">
            <w:pPr>
              <w:rPr>
                <w:color w:val="000000" w:themeColor="text1"/>
                <w:sz w:val="20"/>
                <w:lang w:val="en-CA"/>
              </w:rPr>
            </w:pPr>
          </w:p>
        </w:tc>
        <w:tc>
          <w:tcPr>
            <w:tcW w:w="0" w:type="auto"/>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6B33A2A4" w14:textId="77777777" w:rsidR="00FA0439" w:rsidRPr="004D4C57" w:rsidRDefault="00FA0439" w:rsidP="008116BE">
            <w:pPr>
              <w:rPr>
                <w:color w:val="000000" w:themeColor="text1"/>
                <w:sz w:val="20"/>
                <w:lang w:val="en-CA"/>
              </w:rPr>
            </w:pPr>
            <w:r w:rsidRPr="004D4C57">
              <w:rPr>
                <w:i/>
                <w:iCs/>
                <w:color w:val="000000" w:themeColor="text1"/>
                <w:sz w:val="20"/>
              </w:rPr>
              <w:t>b</w:t>
            </w:r>
          </w:p>
        </w:tc>
        <w:tc>
          <w:tcPr>
            <w:tcW w:w="0" w:type="auto"/>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36F3708E" w14:textId="77777777" w:rsidR="00FA0439" w:rsidRPr="004D4C57" w:rsidRDefault="00FA0439" w:rsidP="008116BE">
            <w:pPr>
              <w:rPr>
                <w:color w:val="000000" w:themeColor="text1"/>
                <w:sz w:val="20"/>
                <w:lang w:val="en-CA"/>
              </w:rPr>
            </w:pPr>
            <w:r w:rsidRPr="004D4C57">
              <w:rPr>
                <w:i/>
                <w:iCs/>
                <w:color w:val="000000" w:themeColor="text1"/>
                <w:sz w:val="20"/>
              </w:rPr>
              <w:t>SE</w:t>
            </w:r>
          </w:p>
        </w:tc>
        <w:tc>
          <w:tcPr>
            <w:tcW w:w="0" w:type="auto"/>
            <w:tcBorders>
              <w:top w:val="nil"/>
              <w:left w:val="nil"/>
              <w:bottom w:val="single" w:sz="8" w:space="0" w:color="000000"/>
              <w:right w:val="nil"/>
            </w:tcBorders>
            <w:shd w:val="clear" w:color="auto" w:fill="FFFFFF"/>
            <w:tcMar>
              <w:top w:w="72" w:type="dxa"/>
              <w:left w:w="144" w:type="dxa"/>
              <w:bottom w:w="72" w:type="dxa"/>
              <w:right w:w="144" w:type="dxa"/>
            </w:tcMar>
            <w:hideMark/>
          </w:tcPr>
          <w:p w14:paraId="3431BE8B" w14:textId="77777777" w:rsidR="00FA0439" w:rsidRPr="004D4C57" w:rsidRDefault="00FA0439" w:rsidP="008116BE">
            <w:pPr>
              <w:rPr>
                <w:color w:val="000000" w:themeColor="text1"/>
                <w:sz w:val="20"/>
                <w:lang w:val="en-CA"/>
              </w:rPr>
            </w:pPr>
          </w:p>
        </w:tc>
        <w:tc>
          <w:tcPr>
            <w:tcW w:w="0" w:type="auto"/>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7367B4DB" w14:textId="77777777" w:rsidR="00FA0439" w:rsidRPr="004D4C57" w:rsidRDefault="00FA0439" w:rsidP="008116BE">
            <w:pPr>
              <w:rPr>
                <w:color w:val="000000" w:themeColor="text1"/>
                <w:sz w:val="20"/>
                <w:lang w:val="en-CA"/>
              </w:rPr>
            </w:pPr>
            <w:r w:rsidRPr="004D4C57">
              <w:rPr>
                <w:i/>
                <w:iCs/>
                <w:color w:val="000000" w:themeColor="text1"/>
                <w:sz w:val="20"/>
              </w:rPr>
              <w:t>b</w:t>
            </w:r>
          </w:p>
        </w:tc>
        <w:tc>
          <w:tcPr>
            <w:tcW w:w="0" w:type="auto"/>
            <w:tcBorders>
              <w:top w:val="single" w:sz="8" w:space="0" w:color="000000"/>
              <w:left w:val="nil"/>
              <w:bottom w:val="single" w:sz="8" w:space="0" w:color="000000"/>
              <w:right w:val="nil"/>
            </w:tcBorders>
            <w:shd w:val="clear" w:color="auto" w:fill="FFFFFF"/>
            <w:tcMar>
              <w:top w:w="72" w:type="dxa"/>
              <w:left w:w="144" w:type="dxa"/>
              <w:bottom w:w="72" w:type="dxa"/>
              <w:right w:w="144" w:type="dxa"/>
            </w:tcMar>
            <w:hideMark/>
          </w:tcPr>
          <w:p w14:paraId="6C923802" w14:textId="77777777" w:rsidR="00FA0439" w:rsidRPr="004D4C57" w:rsidRDefault="00FA0439" w:rsidP="008116BE">
            <w:pPr>
              <w:rPr>
                <w:color w:val="000000" w:themeColor="text1"/>
                <w:sz w:val="20"/>
                <w:lang w:val="en-CA"/>
              </w:rPr>
            </w:pPr>
            <w:r w:rsidRPr="004D4C57">
              <w:rPr>
                <w:i/>
                <w:iCs/>
                <w:color w:val="000000" w:themeColor="text1"/>
                <w:sz w:val="20"/>
              </w:rPr>
              <w:t>SE</w:t>
            </w:r>
          </w:p>
        </w:tc>
      </w:tr>
      <w:tr w:rsidR="004D4C57" w:rsidRPr="004D4C57" w14:paraId="19569BE4" w14:textId="77777777" w:rsidTr="008116BE">
        <w:trPr>
          <w:trHeight w:val="283"/>
        </w:trPr>
        <w:tc>
          <w:tcPr>
            <w:tcW w:w="0" w:type="auto"/>
            <w:gridSpan w:val="7"/>
            <w:tcBorders>
              <w:left w:val="nil"/>
              <w:bottom w:val="nil"/>
              <w:right w:val="nil"/>
            </w:tcBorders>
            <w:shd w:val="clear" w:color="auto" w:fill="FFFFFF"/>
            <w:tcMar>
              <w:top w:w="72" w:type="dxa"/>
              <w:left w:w="144" w:type="dxa"/>
              <w:bottom w:w="72" w:type="dxa"/>
              <w:right w:w="144" w:type="dxa"/>
            </w:tcMar>
          </w:tcPr>
          <w:p w14:paraId="2EFC1FA4" w14:textId="62CA97BB" w:rsidR="00FA0439" w:rsidRPr="004D4C57" w:rsidRDefault="00FA0439" w:rsidP="00FA0439">
            <w:pPr>
              <w:jc w:val="center"/>
              <w:rPr>
                <w:color w:val="000000" w:themeColor="text1"/>
                <w:kern w:val="24"/>
                <w:sz w:val="20"/>
              </w:rPr>
            </w:pPr>
            <w:r w:rsidRPr="004D4C57">
              <w:rPr>
                <w:color w:val="000000" w:themeColor="text1"/>
                <w:kern w:val="24"/>
                <w:sz w:val="20"/>
              </w:rPr>
              <w:t>Model 1</w:t>
            </w:r>
          </w:p>
        </w:tc>
      </w:tr>
      <w:tr w:rsidR="004D4C57" w:rsidRPr="004D4C57" w14:paraId="39AF68DE" w14:textId="77777777" w:rsidTr="008116BE">
        <w:trPr>
          <w:trHeight w:val="283"/>
        </w:trPr>
        <w:tc>
          <w:tcPr>
            <w:tcW w:w="0" w:type="auto"/>
            <w:tcBorders>
              <w:left w:val="nil"/>
              <w:bottom w:val="nil"/>
              <w:right w:val="nil"/>
            </w:tcBorders>
            <w:shd w:val="clear" w:color="auto" w:fill="FFFFFF"/>
            <w:tcMar>
              <w:top w:w="72" w:type="dxa"/>
              <w:left w:w="144" w:type="dxa"/>
              <w:bottom w:w="72" w:type="dxa"/>
              <w:right w:w="144" w:type="dxa"/>
            </w:tcMar>
          </w:tcPr>
          <w:p w14:paraId="319F9F10" w14:textId="77777777" w:rsidR="00FA0439" w:rsidRPr="004D4C57" w:rsidRDefault="00FA0439" w:rsidP="008116BE">
            <w:pPr>
              <w:rPr>
                <w:color w:val="000000" w:themeColor="text1"/>
                <w:sz w:val="20"/>
                <w:lang w:val="en-CA"/>
              </w:rPr>
            </w:pPr>
            <w:r w:rsidRPr="004D4C57">
              <w:rPr>
                <w:color w:val="000000" w:themeColor="text1"/>
                <w:kern w:val="24"/>
                <w:sz w:val="20"/>
              </w:rPr>
              <w:t xml:space="preserve">Baseline </w:t>
            </w:r>
          </w:p>
        </w:tc>
        <w:tc>
          <w:tcPr>
            <w:tcW w:w="0" w:type="auto"/>
            <w:tcBorders>
              <w:left w:val="nil"/>
              <w:bottom w:val="nil"/>
              <w:right w:val="nil"/>
            </w:tcBorders>
            <w:shd w:val="clear" w:color="auto" w:fill="FFFFFF"/>
            <w:tcMar>
              <w:top w:w="72" w:type="dxa"/>
              <w:left w:w="144" w:type="dxa"/>
              <w:bottom w:w="72" w:type="dxa"/>
              <w:right w:w="144" w:type="dxa"/>
            </w:tcMar>
          </w:tcPr>
          <w:p w14:paraId="7A9D740B" w14:textId="77777777" w:rsidR="00FA0439" w:rsidRPr="004D4C57" w:rsidRDefault="00FA0439" w:rsidP="008116BE">
            <w:pPr>
              <w:rPr>
                <w:color w:val="000000" w:themeColor="text1"/>
                <w:sz w:val="20"/>
                <w:lang w:val="en-CA"/>
              </w:rPr>
            </w:pPr>
          </w:p>
        </w:tc>
        <w:tc>
          <w:tcPr>
            <w:tcW w:w="0" w:type="auto"/>
            <w:tcBorders>
              <w:left w:val="nil"/>
              <w:bottom w:val="nil"/>
              <w:right w:val="nil"/>
            </w:tcBorders>
            <w:shd w:val="clear" w:color="auto" w:fill="FFFFFF"/>
            <w:tcMar>
              <w:top w:w="72" w:type="dxa"/>
              <w:left w:w="144" w:type="dxa"/>
              <w:bottom w:w="72" w:type="dxa"/>
              <w:right w:w="144" w:type="dxa"/>
            </w:tcMar>
          </w:tcPr>
          <w:p w14:paraId="0579C748" w14:textId="55ACDE8F" w:rsidR="00FA0439" w:rsidRPr="004D4C57" w:rsidRDefault="00FA0439" w:rsidP="008116BE">
            <w:pPr>
              <w:rPr>
                <w:color w:val="000000" w:themeColor="text1"/>
                <w:sz w:val="20"/>
                <w:lang w:val="en-CA"/>
              </w:rPr>
            </w:pPr>
            <w:r w:rsidRPr="004D4C57">
              <w:rPr>
                <w:color w:val="000000" w:themeColor="text1"/>
                <w:kern w:val="24"/>
                <w:sz w:val="20"/>
              </w:rPr>
              <w:t>.4</w:t>
            </w:r>
            <w:r w:rsidR="00555E98" w:rsidRPr="004D4C57">
              <w:rPr>
                <w:color w:val="000000" w:themeColor="text1"/>
                <w:kern w:val="24"/>
                <w:sz w:val="20"/>
              </w:rPr>
              <w:t>2</w:t>
            </w:r>
            <w:r w:rsidRPr="004D4C57">
              <w:rPr>
                <w:color w:val="000000" w:themeColor="text1"/>
                <w:sz w:val="20"/>
                <w:vertAlign w:val="superscript"/>
              </w:rPr>
              <w:t>**</w:t>
            </w:r>
          </w:p>
        </w:tc>
        <w:tc>
          <w:tcPr>
            <w:tcW w:w="0" w:type="auto"/>
            <w:tcBorders>
              <w:left w:val="nil"/>
              <w:bottom w:val="nil"/>
              <w:right w:val="nil"/>
            </w:tcBorders>
            <w:shd w:val="clear" w:color="auto" w:fill="FFFFFF"/>
            <w:tcMar>
              <w:top w:w="72" w:type="dxa"/>
              <w:left w:w="144" w:type="dxa"/>
              <w:bottom w:w="72" w:type="dxa"/>
              <w:right w:w="144" w:type="dxa"/>
            </w:tcMar>
          </w:tcPr>
          <w:p w14:paraId="2BDEBD3F" w14:textId="77777777" w:rsidR="00FA0439" w:rsidRPr="004D4C57" w:rsidRDefault="00FA0439" w:rsidP="008116BE">
            <w:pPr>
              <w:rPr>
                <w:color w:val="000000" w:themeColor="text1"/>
                <w:sz w:val="20"/>
                <w:lang w:val="en-CA"/>
              </w:rPr>
            </w:pPr>
            <w:r w:rsidRPr="004D4C57">
              <w:rPr>
                <w:color w:val="000000" w:themeColor="text1"/>
                <w:kern w:val="24"/>
                <w:sz w:val="20"/>
              </w:rPr>
              <w:t>(.040)</w:t>
            </w:r>
          </w:p>
        </w:tc>
        <w:tc>
          <w:tcPr>
            <w:tcW w:w="0" w:type="auto"/>
            <w:tcBorders>
              <w:left w:val="nil"/>
              <w:bottom w:val="nil"/>
              <w:right w:val="nil"/>
            </w:tcBorders>
            <w:shd w:val="clear" w:color="auto" w:fill="FFFFFF"/>
            <w:tcMar>
              <w:top w:w="72" w:type="dxa"/>
              <w:left w:w="144" w:type="dxa"/>
              <w:bottom w:w="72" w:type="dxa"/>
              <w:right w:w="144" w:type="dxa"/>
            </w:tcMar>
          </w:tcPr>
          <w:p w14:paraId="1B0ED42F" w14:textId="77777777" w:rsidR="00FA0439" w:rsidRPr="004D4C57" w:rsidRDefault="00FA0439" w:rsidP="008116BE">
            <w:pPr>
              <w:rPr>
                <w:color w:val="000000" w:themeColor="text1"/>
                <w:sz w:val="20"/>
                <w:lang w:val="en-CA"/>
              </w:rPr>
            </w:pPr>
          </w:p>
        </w:tc>
        <w:tc>
          <w:tcPr>
            <w:tcW w:w="0" w:type="auto"/>
            <w:tcBorders>
              <w:left w:val="nil"/>
              <w:bottom w:val="nil"/>
              <w:right w:val="nil"/>
            </w:tcBorders>
            <w:shd w:val="clear" w:color="auto" w:fill="FFFFFF"/>
            <w:tcMar>
              <w:top w:w="72" w:type="dxa"/>
              <w:left w:w="144" w:type="dxa"/>
              <w:bottom w:w="72" w:type="dxa"/>
              <w:right w:w="144" w:type="dxa"/>
            </w:tcMar>
          </w:tcPr>
          <w:p w14:paraId="22EECEB1" w14:textId="7BAEEADE" w:rsidR="00FA0439" w:rsidRPr="004D4C57" w:rsidRDefault="00FA0439" w:rsidP="008116BE">
            <w:pPr>
              <w:rPr>
                <w:color w:val="000000" w:themeColor="text1"/>
                <w:sz w:val="20"/>
                <w:lang w:val="en-CA"/>
              </w:rPr>
            </w:pPr>
            <w:r w:rsidRPr="004D4C57">
              <w:rPr>
                <w:color w:val="000000" w:themeColor="text1"/>
                <w:kern w:val="24"/>
                <w:sz w:val="20"/>
              </w:rPr>
              <w:t>.7</w:t>
            </w:r>
            <w:r w:rsidR="00512989" w:rsidRPr="004D4C57">
              <w:rPr>
                <w:color w:val="000000" w:themeColor="text1"/>
                <w:kern w:val="24"/>
                <w:sz w:val="20"/>
              </w:rPr>
              <w:t>7</w:t>
            </w:r>
            <w:r w:rsidRPr="004D4C57">
              <w:rPr>
                <w:color w:val="000000" w:themeColor="text1"/>
                <w:sz w:val="20"/>
                <w:vertAlign w:val="superscript"/>
              </w:rPr>
              <w:t>**</w:t>
            </w:r>
          </w:p>
        </w:tc>
        <w:tc>
          <w:tcPr>
            <w:tcW w:w="0" w:type="auto"/>
            <w:tcBorders>
              <w:left w:val="nil"/>
              <w:bottom w:val="nil"/>
              <w:right w:val="nil"/>
            </w:tcBorders>
            <w:shd w:val="clear" w:color="auto" w:fill="FFFFFF"/>
            <w:tcMar>
              <w:top w:w="72" w:type="dxa"/>
              <w:left w:w="144" w:type="dxa"/>
              <w:bottom w:w="72" w:type="dxa"/>
              <w:right w:w="144" w:type="dxa"/>
            </w:tcMar>
          </w:tcPr>
          <w:p w14:paraId="3E7C17F2" w14:textId="77777777" w:rsidR="00FA0439" w:rsidRPr="004D4C57" w:rsidRDefault="00FA0439" w:rsidP="008116BE">
            <w:pPr>
              <w:rPr>
                <w:color w:val="000000" w:themeColor="text1"/>
                <w:sz w:val="20"/>
                <w:lang w:val="en-CA"/>
              </w:rPr>
            </w:pPr>
            <w:r w:rsidRPr="004D4C57">
              <w:rPr>
                <w:color w:val="000000" w:themeColor="text1"/>
                <w:kern w:val="24"/>
                <w:sz w:val="20"/>
              </w:rPr>
              <w:t>(.031)</w:t>
            </w:r>
          </w:p>
        </w:tc>
      </w:tr>
      <w:tr w:rsidR="004D4C57" w:rsidRPr="004D4C57" w14:paraId="484D4FD8" w14:textId="77777777" w:rsidTr="00FA0439">
        <w:trPr>
          <w:trHeight w:val="283"/>
        </w:trPr>
        <w:tc>
          <w:tcPr>
            <w:tcW w:w="0" w:type="auto"/>
            <w:tcBorders>
              <w:left w:val="nil"/>
              <w:right w:val="nil"/>
            </w:tcBorders>
            <w:shd w:val="clear" w:color="auto" w:fill="FFFFFF"/>
            <w:tcMar>
              <w:top w:w="72" w:type="dxa"/>
              <w:left w:w="144" w:type="dxa"/>
              <w:bottom w:w="72" w:type="dxa"/>
              <w:right w:w="144" w:type="dxa"/>
            </w:tcMar>
          </w:tcPr>
          <w:p w14:paraId="1956F134" w14:textId="339FA557" w:rsidR="00FA0439" w:rsidRPr="004D4C57" w:rsidRDefault="00A85F69" w:rsidP="008116BE">
            <w:pPr>
              <w:rPr>
                <w:color w:val="000000" w:themeColor="text1"/>
                <w:sz w:val="20"/>
              </w:rPr>
            </w:pPr>
            <w:r w:rsidRPr="004D4C57">
              <w:rPr>
                <w:color w:val="000000" w:themeColor="text1"/>
                <w:kern w:val="24"/>
                <w:sz w:val="20"/>
              </w:rPr>
              <w:t>Retirement</w:t>
            </w:r>
            <w:r w:rsidR="00FA0439" w:rsidRPr="004D4C57">
              <w:rPr>
                <w:color w:val="000000" w:themeColor="text1"/>
                <w:kern w:val="24"/>
                <w:sz w:val="20"/>
              </w:rPr>
              <w:t xml:space="preserve"> Status (</w:t>
            </w:r>
            <w:r w:rsidRPr="004D4C57">
              <w:rPr>
                <w:color w:val="000000" w:themeColor="text1"/>
                <w:kern w:val="24"/>
                <w:sz w:val="20"/>
              </w:rPr>
              <w:t>R</w:t>
            </w:r>
            <w:r w:rsidR="00FA0439" w:rsidRPr="004D4C57">
              <w:rPr>
                <w:color w:val="000000" w:themeColor="text1"/>
                <w:kern w:val="24"/>
                <w:sz w:val="20"/>
              </w:rPr>
              <w:t>S)</w:t>
            </w:r>
          </w:p>
        </w:tc>
        <w:tc>
          <w:tcPr>
            <w:tcW w:w="0" w:type="auto"/>
            <w:tcBorders>
              <w:left w:val="nil"/>
              <w:right w:val="nil"/>
            </w:tcBorders>
            <w:shd w:val="clear" w:color="auto" w:fill="FFFFFF"/>
            <w:tcMar>
              <w:top w:w="72" w:type="dxa"/>
              <w:left w:w="144" w:type="dxa"/>
              <w:bottom w:w="72" w:type="dxa"/>
              <w:right w:w="144" w:type="dxa"/>
            </w:tcMar>
          </w:tcPr>
          <w:p w14:paraId="65993109" w14:textId="77777777" w:rsidR="00FA0439" w:rsidRPr="004D4C57" w:rsidRDefault="00FA0439" w:rsidP="008116BE">
            <w:pPr>
              <w:rPr>
                <w:color w:val="000000" w:themeColor="text1"/>
                <w:sz w:val="20"/>
                <w:lang w:val="en-CA"/>
              </w:rPr>
            </w:pPr>
          </w:p>
        </w:tc>
        <w:tc>
          <w:tcPr>
            <w:tcW w:w="0" w:type="auto"/>
            <w:tcBorders>
              <w:left w:val="nil"/>
              <w:right w:val="nil"/>
            </w:tcBorders>
            <w:shd w:val="clear" w:color="auto" w:fill="FFFFFF"/>
            <w:tcMar>
              <w:top w:w="72" w:type="dxa"/>
              <w:left w:w="144" w:type="dxa"/>
              <w:bottom w:w="72" w:type="dxa"/>
              <w:right w:w="144" w:type="dxa"/>
            </w:tcMar>
          </w:tcPr>
          <w:p w14:paraId="40FB1384" w14:textId="63E2E70B" w:rsidR="00FA0439" w:rsidRPr="004D4C57" w:rsidRDefault="00555E98" w:rsidP="008116BE">
            <w:pPr>
              <w:rPr>
                <w:color w:val="000000" w:themeColor="text1"/>
                <w:sz w:val="20"/>
              </w:rPr>
            </w:pPr>
            <w:r w:rsidRPr="004D4C57">
              <w:rPr>
                <w:color w:val="000000" w:themeColor="text1"/>
                <w:kern w:val="24"/>
                <w:sz w:val="20"/>
              </w:rPr>
              <w:t>-</w:t>
            </w:r>
            <w:r w:rsidR="00FA0439" w:rsidRPr="004D4C57">
              <w:rPr>
                <w:color w:val="000000" w:themeColor="text1"/>
                <w:kern w:val="24"/>
                <w:sz w:val="20"/>
              </w:rPr>
              <w:t>.08</w:t>
            </w:r>
          </w:p>
        </w:tc>
        <w:tc>
          <w:tcPr>
            <w:tcW w:w="0" w:type="auto"/>
            <w:tcBorders>
              <w:left w:val="nil"/>
              <w:right w:val="nil"/>
            </w:tcBorders>
            <w:shd w:val="clear" w:color="auto" w:fill="FFFFFF"/>
            <w:tcMar>
              <w:top w:w="72" w:type="dxa"/>
              <w:left w:w="144" w:type="dxa"/>
              <w:bottom w:w="72" w:type="dxa"/>
              <w:right w:w="144" w:type="dxa"/>
            </w:tcMar>
          </w:tcPr>
          <w:p w14:paraId="7B288258" w14:textId="63842850" w:rsidR="00FA0439" w:rsidRPr="004D4C57" w:rsidRDefault="00FA0439" w:rsidP="008116BE">
            <w:pPr>
              <w:rPr>
                <w:color w:val="000000" w:themeColor="text1"/>
                <w:sz w:val="20"/>
              </w:rPr>
            </w:pPr>
            <w:r w:rsidRPr="004D4C57">
              <w:rPr>
                <w:color w:val="000000" w:themeColor="text1"/>
                <w:kern w:val="24"/>
                <w:sz w:val="20"/>
              </w:rPr>
              <w:t>(.07</w:t>
            </w:r>
            <w:r w:rsidR="00555E98" w:rsidRPr="004D4C57">
              <w:rPr>
                <w:color w:val="000000" w:themeColor="text1"/>
                <w:kern w:val="24"/>
                <w:sz w:val="20"/>
              </w:rPr>
              <w:t>0</w:t>
            </w:r>
            <w:r w:rsidRPr="004D4C57">
              <w:rPr>
                <w:color w:val="000000" w:themeColor="text1"/>
                <w:kern w:val="24"/>
                <w:sz w:val="20"/>
              </w:rPr>
              <w:t>)</w:t>
            </w:r>
          </w:p>
        </w:tc>
        <w:tc>
          <w:tcPr>
            <w:tcW w:w="0" w:type="auto"/>
            <w:tcBorders>
              <w:left w:val="nil"/>
              <w:right w:val="nil"/>
            </w:tcBorders>
            <w:shd w:val="clear" w:color="auto" w:fill="FFFFFF"/>
            <w:tcMar>
              <w:top w:w="72" w:type="dxa"/>
              <w:left w:w="144" w:type="dxa"/>
              <w:bottom w:w="72" w:type="dxa"/>
              <w:right w:w="144" w:type="dxa"/>
            </w:tcMar>
          </w:tcPr>
          <w:p w14:paraId="5C1D708A" w14:textId="77777777" w:rsidR="00FA0439" w:rsidRPr="004D4C57" w:rsidRDefault="00FA0439" w:rsidP="008116BE">
            <w:pPr>
              <w:rPr>
                <w:color w:val="000000" w:themeColor="text1"/>
                <w:sz w:val="20"/>
                <w:lang w:val="en-CA"/>
              </w:rPr>
            </w:pPr>
          </w:p>
        </w:tc>
        <w:tc>
          <w:tcPr>
            <w:tcW w:w="0" w:type="auto"/>
            <w:tcBorders>
              <w:left w:val="nil"/>
              <w:right w:val="nil"/>
            </w:tcBorders>
            <w:shd w:val="clear" w:color="auto" w:fill="FFFFFF"/>
            <w:tcMar>
              <w:top w:w="72" w:type="dxa"/>
              <w:left w:w="144" w:type="dxa"/>
              <w:bottom w:w="72" w:type="dxa"/>
              <w:right w:w="144" w:type="dxa"/>
            </w:tcMar>
          </w:tcPr>
          <w:p w14:paraId="707340A9" w14:textId="007544D5" w:rsidR="00FA0439" w:rsidRPr="004D4C57" w:rsidRDefault="00512989" w:rsidP="008116BE">
            <w:pPr>
              <w:rPr>
                <w:color w:val="000000" w:themeColor="text1"/>
                <w:sz w:val="20"/>
              </w:rPr>
            </w:pPr>
            <w:r w:rsidRPr="004D4C57">
              <w:rPr>
                <w:color w:val="000000" w:themeColor="text1"/>
                <w:kern w:val="24"/>
                <w:sz w:val="20"/>
              </w:rPr>
              <w:t>-</w:t>
            </w:r>
            <w:r w:rsidR="00FA0439" w:rsidRPr="004D4C57">
              <w:rPr>
                <w:color w:val="000000" w:themeColor="text1"/>
                <w:kern w:val="24"/>
                <w:sz w:val="20"/>
              </w:rPr>
              <w:t>.03</w:t>
            </w:r>
          </w:p>
        </w:tc>
        <w:tc>
          <w:tcPr>
            <w:tcW w:w="0" w:type="auto"/>
            <w:tcBorders>
              <w:left w:val="nil"/>
              <w:right w:val="nil"/>
            </w:tcBorders>
            <w:shd w:val="clear" w:color="auto" w:fill="FFFFFF"/>
            <w:tcMar>
              <w:top w:w="72" w:type="dxa"/>
              <w:left w:w="144" w:type="dxa"/>
              <w:bottom w:w="72" w:type="dxa"/>
              <w:right w:w="144" w:type="dxa"/>
            </w:tcMar>
          </w:tcPr>
          <w:p w14:paraId="10848E21" w14:textId="77777777" w:rsidR="00FA0439" w:rsidRPr="004D4C57" w:rsidRDefault="00FA0439" w:rsidP="008116BE">
            <w:pPr>
              <w:rPr>
                <w:color w:val="000000" w:themeColor="text1"/>
                <w:sz w:val="20"/>
              </w:rPr>
            </w:pPr>
            <w:r w:rsidRPr="004D4C57">
              <w:rPr>
                <w:color w:val="000000" w:themeColor="text1"/>
                <w:kern w:val="24"/>
                <w:sz w:val="20"/>
              </w:rPr>
              <w:t>(.036)</w:t>
            </w:r>
          </w:p>
        </w:tc>
      </w:tr>
      <w:tr w:rsidR="004D4C57" w:rsidRPr="004D4C57" w14:paraId="29FCF870" w14:textId="77777777" w:rsidTr="00FA0439">
        <w:trPr>
          <w:trHeight w:val="283"/>
        </w:trPr>
        <w:tc>
          <w:tcPr>
            <w:tcW w:w="0" w:type="auto"/>
            <w:tcBorders>
              <w:left w:val="nil"/>
              <w:right w:val="nil"/>
            </w:tcBorders>
            <w:shd w:val="clear" w:color="auto" w:fill="FFFFFF"/>
            <w:tcMar>
              <w:top w:w="72" w:type="dxa"/>
              <w:left w:w="144" w:type="dxa"/>
              <w:bottom w:w="72" w:type="dxa"/>
              <w:right w:w="144" w:type="dxa"/>
            </w:tcMar>
          </w:tcPr>
          <w:p w14:paraId="27B4D9E8" w14:textId="7DDC7BD5" w:rsidR="00FA0439" w:rsidRPr="004D4C57" w:rsidRDefault="00FA0439" w:rsidP="008116BE">
            <w:pPr>
              <w:rPr>
                <w:color w:val="000000" w:themeColor="text1"/>
                <w:kern w:val="24"/>
                <w:sz w:val="20"/>
              </w:rPr>
            </w:pPr>
            <w:r w:rsidRPr="004D4C57">
              <w:rPr>
                <w:color w:val="000000" w:themeColor="text1"/>
                <w:sz w:val="20"/>
              </w:rPr>
              <w:t>Goal Disengagement (GD)</w:t>
            </w:r>
          </w:p>
        </w:tc>
        <w:tc>
          <w:tcPr>
            <w:tcW w:w="0" w:type="auto"/>
            <w:tcBorders>
              <w:left w:val="nil"/>
              <w:right w:val="nil"/>
            </w:tcBorders>
            <w:shd w:val="clear" w:color="auto" w:fill="FFFFFF"/>
            <w:tcMar>
              <w:top w:w="72" w:type="dxa"/>
              <w:left w:w="144" w:type="dxa"/>
              <w:bottom w:w="72" w:type="dxa"/>
              <w:right w:w="144" w:type="dxa"/>
            </w:tcMar>
          </w:tcPr>
          <w:p w14:paraId="6018742B" w14:textId="77777777" w:rsidR="00FA0439" w:rsidRPr="004D4C57" w:rsidRDefault="00FA0439" w:rsidP="008116BE">
            <w:pPr>
              <w:rPr>
                <w:color w:val="000000" w:themeColor="text1"/>
                <w:sz w:val="20"/>
                <w:lang w:val="en-CA"/>
              </w:rPr>
            </w:pPr>
          </w:p>
        </w:tc>
        <w:tc>
          <w:tcPr>
            <w:tcW w:w="0" w:type="auto"/>
            <w:tcBorders>
              <w:left w:val="nil"/>
              <w:right w:val="nil"/>
            </w:tcBorders>
            <w:shd w:val="clear" w:color="auto" w:fill="FFFFFF"/>
            <w:tcMar>
              <w:top w:w="72" w:type="dxa"/>
              <w:left w:w="144" w:type="dxa"/>
              <w:bottom w:w="72" w:type="dxa"/>
              <w:right w:w="144" w:type="dxa"/>
            </w:tcMar>
          </w:tcPr>
          <w:p w14:paraId="252D7C20" w14:textId="7C19AB3C" w:rsidR="00FA0439" w:rsidRPr="004D4C57" w:rsidRDefault="00555E98" w:rsidP="008116BE">
            <w:pPr>
              <w:rPr>
                <w:color w:val="000000" w:themeColor="text1"/>
                <w:kern w:val="24"/>
                <w:sz w:val="20"/>
              </w:rPr>
            </w:pPr>
            <w:r w:rsidRPr="004D4C57">
              <w:rPr>
                <w:color w:val="000000" w:themeColor="text1"/>
                <w:kern w:val="24"/>
                <w:sz w:val="20"/>
              </w:rPr>
              <w:t>-.10</w:t>
            </w:r>
            <w:r w:rsidRPr="004D4C57">
              <w:rPr>
                <w:color w:val="000000" w:themeColor="text1"/>
                <w:sz w:val="20"/>
                <w:vertAlign w:val="superscript"/>
                <w:lang w:val="en-CA"/>
              </w:rPr>
              <w:t>†</w:t>
            </w:r>
          </w:p>
        </w:tc>
        <w:tc>
          <w:tcPr>
            <w:tcW w:w="0" w:type="auto"/>
            <w:tcBorders>
              <w:left w:val="nil"/>
              <w:right w:val="nil"/>
            </w:tcBorders>
            <w:shd w:val="clear" w:color="auto" w:fill="FFFFFF"/>
            <w:tcMar>
              <w:top w:w="72" w:type="dxa"/>
              <w:left w:w="144" w:type="dxa"/>
              <w:bottom w:w="72" w:type="dxa"/>
              <w:right w:w="144" w:type="dxa"/>
            </w:tcMar>
          </w:tcPr>
          <w:p w14:paraId="5CFF9DAE" w14:textId="601D7BDB" w:rsidR="00FA0439" w:rsidRPr="004D4C57" w:rsidRDefault="00555E98" w:rsidP="008116BE">
            <w:pPr>
              <w:rPr>
                <w:color w:val="000000" w:themeColor="text1"/>
                <w:kern w:val="24"/>
                <w:sz w:val="20"/>
              </w:rPr>
            </w:pPr>
            <w:r w:rsidRPr="004D4C57">
              <w:rPr>
                <w:color w:val="000000" w:themeColor="text1"/>
                <w:kern w:val="24"/>
                <w:sz w:val="20"/>
              </w:rPr>
              <w:t>(.057)</w:t>
            </w:r>
          </w:p>
        </w:tc>
        <w:tc>
          <w:tcPr>
            <w:tcW w:w="0" w:type="auto"/>
            <w:tcBorders>
              <w:left w:val="nil"/>
              <w:right w:val="nil"/>
            </w:tcBorders>
            <w:shd w:val="clear" w:color="auto" w:fill="FFFFFF"/>
            <w:tcMar>
              <w:top w:w="72" w:type="dxa"/>
              <w:left w:w="144" w:type="dxa"/>
              <w:bottom w:w="72" w:type="dxa"/>
              <w:right w:w="144" w:type="dxa"/>
            </w:tcMar>
          </w:tcPr>
          <w:p w14:paraId="5551160B" w14:textId="77777777" w:rsidR="00FA0439" w:rsidRPr="004D4C57" w:rsidRDefault="00FA0439" w:rsidP="008116BE">
            <w:pPr>
              <w:rPr>
                <w:color w:val="000000" w:themeColor="text1"/>
                <w:sz w:val="20"/>
                <w:lang w:val="en-CA"/>
              </w:rPr>
            </w:pPr>
          </w:p>
        </w:tc>
        <w:tc>
          <w:tcPr>
            <w:tcW w:w="0" w:type="auto"/>
            <w:tcBorders>
              <w:left w:val="nil"/>
              <w:right w:val="nil"/>
            </w:tcBorders>
            <w:shd w:val="clear" w:color="auto" w:fill="FFFFFF"/>
            <w:tcMar>
              <w:top w:w="72" w:type="dxa"/>
              <w:left w:w="144" w:type="dxa"/>
              <w:bottom w:w="72" w:type="dxa"/>
              <w:right w:w="144" w:type="dxa"/>
            </w:tcMar>
          </w:tcPr>
          <w:p w14:paraId="22C78B2D" w14:textId="3D26A531" w:rsidR="00FA0439" w:rsidRPr="004D4C57" w:rsidRDefault="00512989" w:rsidP="008116BE">
            <w:pPr>
              <w:rPr>
                <w:color w:val="000000" w:themeColor="text1"/>
                <w:kern w:val="24"/>
                <w:sz w:val="20"/>
              </w:rPr>
            </w:pPr>
            <w:r w:rsidRPr="004D4C57">
              <w:rPr>
                <w:color w:val="000000" w:themeColor="text1"/>
                <w:kern w:val="24"/>
                <w:sz w:val="20"/>
              </w:rPr>
              <w:t>-.02</w:t>
            </w:r>
          </w:p>
        </w:tc>
        <w:tc>
          <w:tcPr>
            <w:tcW w:w="0" w:type="auto"/>
            <w:tcBorders>
              <w:left w:val="nil"/>
              <w:right w:val="nil"/>
            </w:tcBorders>
            <w:shd w:val="clear" w:color="auto" w:fill="FFFFFF"/>
            <w:tcMar>
              <w:top w:w="72" w:type="dxa"/>
              <w:left w:w="144" w:type="dxa"/>
              <w:bottom w:w="72" w:type="dxa"/>
              <w:right w:w="144" w:type="dxa"/>
            </w:tcMar>
          </w:tcPr>
          <w:p w14:paraId="5C32F565" w14:textId="1637D1C7" w:rsidR="00FA0439" w:rsidRPr="004D4C57" w:rsidRDefault="00512989" w:rsidP="008116BE">
            <w:pPr>
              <w:rPr>
                <w:color w:val="000000" w:themeColor="text1"/>
                <w:kern w:val="24"/>
                <w:sz w:val="20"/>
              </w:rPr>
            </w:pPr>
            <w:r w:rsidRPr="004D4C57">
              <w:rPr>
                <w:color w:val="000000" w:themeColor="text1"/>
                <w:kern w:val="24"/>
                <w:sz w:val="20"/>
              </w:rPr>
              <w:t>(.029)</w:t>
            </w:r>
          </w:p>
        </w:tc>
      </w:tr>
      <w:tr w:rsidR="004D4C57" w:rsidRPr="004D4C57" w14:paraId="47F83926" w14:textId="77777777" w:rsidTr="005D2879">
        <w:trPr>
          <w:trHeight w:val="283"/>
        </w:trPr>
        <w:tc>
          <w:tcPr>
            <w:tcW w:w="0" w:type="auto"/>
            <w:tcBorders>
              <w:left w:val="nil"/>
              <w:right w:val="nil"/>
            </w:tcBorders>
            <w:shd w:val="clear" w:color="auto" w:fill="FFFFFF"/>
            <w:tcMar>
              <w:top w:w="72" w:type="dxa"/>
              <w:left w:w="144" w:type="dxa"/>
              <w:bottom w:w="72" w:type="dxa"/>
              <w:right w:w="144" w:type="dxa"/>
            </w:tcMar>
          </w:tcPr>
          <w:p w14:paraId="6FABECB3" w14:textId="6578848E" w:rsidR="00FA0439" w:rsidRPr="004D4C57" w:rsidRDefault="00FA0439" w:rsidP="008116BE">
            <w:pPr>
              <w:rPr>
                <w:color w:val="000000" w:themeColor="text1"/>
                <w:kern w:val="24"/>
                <w:sz w:val="20"/>
              </w:rPr>
            </w:pPr>
            <w:r w:rsidRPr="004D4C57">
              <w:rPr>
                <w:color w:val="000000" w:themeColor="text1"/>
                <w:kern w:val="24"/>
                <w:sz w:val="20"/>
              </w:rPr>
              <w:t>Gender</w:t>
            </w:r>
            <w:r w:rsidR="00555E98" w:rsidRPr="004D4C57">
              <w:rPr>
                <w:color w:val="000000" w:themeColor="text1"/>
                <w:kern w:val="24"/>
                <w:sz w:val="20"/>
              </w:rPr>
              <w:t xml:space="preserve"> (female)</w:t>
            </w:r>
          </w:p>
        </w:tc>
        <w:tc>
          <w:tcPr>
            <w:tcW w:w="0" w:type="auto"/>
            <w:tcBorders>
              <w:left w:val="nil"/>
              <w:right w:val="nil"/>
            </w:tcBorders>
            <w:shd w:val="clear" w:color="auto" w:fill="FFFFFF"/>
            <w:tcMar>
              <w:top w:w="72" w:type="dxa"/>
              <w:left w:w="144" w:type="dxa"/>
              <w:bottom w:w="72" w:type="dxa"/>
              <w:right w:w="144" w:type="dxa"/>
            </w:tcMar>
          </w:tcPr>
          <w:p w14:paraId="31A48FD5" w14:textId="77777777" w:rsidR="00FA0439" w:rsidRPr="004D4C57" w:rsidRDefault="00FA0439" w:rsidP="008116BE">
            <w:pPr>
              <w:rPr>
                <w:color w:val="000000" w:themeColor="text1"/>
                <w:sz w:val="20"/>
                <w:lang w:val="en-CA"/>
              </w:rPr>
            </w:pPr>
          </w:p>
        </w:tc>
        <w:tc>
          <w:tcPr>
            <w:tcW w:w="0" w:type="auto"/>
            <w:tcBorders>
              <w:left w:val="nil"/>
              <w:right w:val="nil"/>
            </w:tcBorders>
            <w:shd w:val="clear" w:color="auto" w:fill="FFFFFF"/>
            <w:tcMar>
              <w:top w:w="72" w:type="dxa"/>
              <w:left w:w="144" w:type="dxa"/>
              <w:bottom w:w="72" w:type="dxa"/>
              <w:right w:w="144" w:type="dxa"/>
            </w:tcMar>
          </w:tcPr>
          <w:p w14:paraId="112E9B26" w14:textId="41A9E005" w:rsidR="00FA0439" w:rsidRPr="004D4C57" w:rsidRDefault="00555E98" w:rsidP="008116BE">
            <w:pPr>
              <w:rPr>
                <w:color w:val="000000" w:themeColor="text1"/>
                <w:kern w:val="24"/>
                <w:sz w:val="20"/>
              </w:rPr>
            </w:pPr>
            <w:r w:rsidRPr="004D4C57">
              <w:rPr>
                <w:color w:val="000000" w:themeColor="text1"/>
                <w:kern w:val="24"/>
                <w:sz w:val="20"/>
              </w:rPr>
              <w:t>.</w:t>
            </w:r>
            <w:r w:rsidR="00C77260" w:rsidRPr="004D4C57">
              <w:rPr>
                <w:color w:val="000000" w:themeColor="text1"/>
                <w:kern w:val="24"/>
                <w:sz w:val="20"/>
              </w:rPr>
              <w:t>42</w:t>
            </w:r>
            <w:r w:rsidR="00C77260" w:rsidRPr="004D4C57">
              <w:rPr>
                <w:color w:val="000000" w:themeColor="text1"/>
                <w:sz w:val="20"/>
                <w:vertAlign w:val="superscript"/>
              </w:rPr>
              <w:t>**</w:t>
            </w:r>
          </w:p>
        </w:tc>
        <w:tc>
          <w:tcPr>
            <w:tcW w:w="0" w:type="auto"/>
            <w:tcBorders>
              <w:left w:val="nil"/>
              <w:right w:val="nil"/>
            </w:tcBorders>
            <w:shd w:val="clear" w:color="auto" w:fill="FFFFFF"/>
            <w:tcMar>
              <w:top w:w="72" w:type="dxa"/>
              <w:left w:w="144" w:type="dxa"/>
              <w:bottom w:w="72" w:type="dxa"/>
              <w:right w:w="144" w:type="dxa"/>
            </w:tcMar>
          </w:tcPr>
          <w:p w14:paraId="4402C032" w14:textId="79B29538" w:rsidR="00FA0439" w:rsidRPr="004D4C57" w:rsidRDefault="00C77260" w:rsidP="008116BE">
            <w:pPr>
              <w:rPr>
                <w:color w:val="000000" w:themeColor="text1"/>
                <w:kern w:val="24"/>
                <w:sz w:val="20"/>
              </w:rPr>
            </w:pPr>
            <w:r w:rsidRPr="004D4C57">
              <w:rPr>
                <w:color w:val="000000" w:themeColor="text1"/>
                <w:kern w:val="24"/>
                <w:sz w:val="20"/>
              </w:rPr>
              <w:t>(.074)</w:t>
            </w:r>
          </w:p>
        </w:tc>
        <w:tc>
          <w:tcPr>
            <w:tcW w:w="0" w:type="auto"/>
            <w:tcBorders>
              <w:left w:val="nil"/>
              <w:right w:val="nil"/>
            </w:tcBorders>
            <w:shd w:val="clear" w:color="auto" w:fill="FFFFFF"/>
            <w:tcMar>
              <w:top w:w="72" w:type="dxa"/>
              <w:left w:w="144" w:type="dxa"/>
              <w:bottom w:w="72" w:type="dxa"/>
              <w:right w:w="144" w:type="dxa"/>
            </w:tcMar>
          </w:tcPr>
          <w:p w14:paraId="38940B44" w14:textId="77777777" w:rsidR="00FA0439" w:rsidRPr="004D4C57" w:rsidRDefault="00FA0439" w:rsidP="008116BE">
            <w:pPr>
              <w:rPr>
                <w:color w:val="000000" w:themeColor="text1"/>
                <w:sz w:val="20"/>
                <w:lang w:val="en-CA"/>
              </w:rPr>
            </w:pPr>
          </w:p>
        </w:tc>
        <w:tc>
          <w:tcPr>
            <w:tcW w:w="0" w:type="auto"/>
            <w:tcBorders>
              <w:left w:val="nil"/>
              <w:right w:val="nil"/>
            </w:tcBorders>
            <w:shd w:val="clear" w:color="auto" w:fill="FFFFFF"/>
            <w:tcMar>
              <w:top w:w="72" w:type="dxa"/>
              <w:left w:w="144" w:type="dxa"/>
              <w:bottom w:w="72" w:type="dxa"/>
              <w:right w:w="144" w:type="dxa"/>
            </w:tcMar>
          </w:tcPr>
          <w:p w14:paraId="22810606" w14:textId="0E9C2EB5" w:rsidR="00FA0439" w:rsidRPr="004D4C57" w:rsidRDefault="00512989" w:rsidP="008116BE">
            <w:pPr>
              <w:rPr>
                <w:color w:val="000000" w:themeColor="text1"/>
                <w:kern w:val="24"/>
                <w:sz w:val="20"/>
              </w:rPr>
            </w:pPr>
            <w:r w:rsidRPr="004D4C57">
              <w:rPr>
                <w:color w:val="000000" w:themeColor="text1"/>
                <w:kern w:val="24"/>
                <w:sz w:val="20"/>
              </w:rPr>
              <w:t>-.06</w:t>
            </w:r>
            <w:r w:rsidRPr="004D4C57">
              <w:rPr>
                <w:color w:val="000000" w:themeColor="text1"/>
                <w:sz w:val="20"/>
                <w:vertAlign w:val="superscript"/>
                <w:lang w:val="en-CA"/>
              </w:rPr>
              <w:t>†</w:t>
            </w:r>
          </w:p>
        </w:tc>
        <w:tc>
          <w:tcPr>
            <w:tcW w:w="0" w:type="auto"/>
            <w:tcBorders>
              <w:left w:val="nil"/>
              <w:right w:val="nil"/>
            </w:tcBorders>
            <w:shd w:val="clear" w:color="auto" w:fill="FFFFFF"/>
            <w:tcMar>
              <w:top w:w="72" w:type="dxa"/>
              <w:left w:w="144" w:type="dxa"/>
              <w:bottom w:w="72" w:type="dxa"/>
              <w:right w:w="144" w:type="dxa"/>
            </w:tcMar>
          </w:tcPr>
          <w:p w14:paraId="4AD0D13F" w14:textId="7ABEED04" w:rsidR="00FA0439" w:rsidRPr="004D4C57" w:rsidRDefault="00512989" w:rsidP="008116BE">
            <w:pPr>
              <w:rPr>
                <w:color w:val="000000" w:themeColor="text1"/>
                <w:kern w:val="24"/>
                <w:sz w:val="20"/>
              </w:rPr>
            </w:pPr>
            <w:r w:rsidRPr="004D4C57">
              <w:rPr>
                <w:color w:val="000000" w:themeColor="text1"/>
                <w:kern w:val="24"/>
                <w:sz w:val="20"/>
              </w:rPr>
              <w:t>(.037)</w:t>
            </w:r>
          </w:p>
        </w:tc>
      </w:tr>
      <w:tr w:rsidR="004D4C57" w:rsidRPr="004D4C57" w14:paraId="3492D663" w14:textId="77777777" w:rsidTr="006E2CB1">
        <w:trPr>
          <w:trHeight w:val="283"/>
        </w:trPr>
        <w:tc>
          <w:tcPr>
            <w:tcW w:w="0" w:type="auto"/>
            <w:tcBorders>
              <w:left w:val="nil"/>
              <w:bottom w:val="single" w:sz="4" w:space="0" w:color="auto"/>
              <w:right w:val="nil"/>
            </w:tcBorders>
            <w:shd w:val="clear" w:color="auto" w:fill="FFFFFF"/>
            <w:tcMar>
              <w:top w:w="72" w:type="dxa"/>
              <w:left w:w="144" w:type="dxa"/>
              <w:bottom w:w="72" w:type="dxa"/>
              <w:right w:w="144" w:type="dxa"/>
            </w:tcMar>
          </w:tcPr>
          <w:p w14:paraId="3A6F5F09" w14:textId="686DF83F" w:rsidR="005D2879" w:rsidRPr="004D4C57" w:rsidRDefault="005D2879" w:rsidP="008116BE">
            <w:pPr>
              <w:rPr>
                <w:color w:val="000000" w:themeColor="text1"/>
                <w:kern w:val="24"/>
                <w:sz w:val="20"/>
              </w:rPr>
            </w:pPr>
            <w:r w:rsidRPr="004D4C57">
              <w:rPr>
                <w:color w:val="000000" w:themeColor="text1"/>
                <w:sz w:val="20"/>
              </w:rPr>
              <w:t xml:space="preserve">  </w:t>
            </w:r>
            <w:r w:rsidRPr="004D4C57">
              <w:rPr>
                <w:i/>
                <w:iCs/>
                <w:color w:val="000000" w:themeColor="text1"/>
                <w:sz w:val="20"/>
              </w:rPr>
              <w:t>R</w:t>
            </w:r>
            <w:r w:rsidRPr="004D4C57">
              <w:rPr>
                <w:color w:val="000000" w:themeColor="text1"/>
                <w:sz w:val="20"/>
                <w:vertAlign w:val="superscript"/>
              </w:rPr>
              <w:t>2</w:t>
            </w:r>
          </w:p>
        </w:tc>
        <w:tc>
          <w:tcPr>
            <w:tcW w:w="0" w:type="auto"/>
            <w:tcBorders>
              <w:left w:val="nil"/>
              <w:bottom w:val="single" w:sz="4" w:space="0" w:color="auto"/>
              <w:right w:val="nil"/>
            </w:tcBorders>
            <w:shd w:val="clear" w:color="auto" w:fill="FFFFFF"/>
            <w:tcMar>
              <w:top w:w="72" w:type="dxa"/>
              <w:left w:w="144" w:type="dxa"/>
              <w:bottom w:w="72" w:type="dxa"/>
              <w:right w:w="144" w:type="dxa"/>
            </w:tcMar>
          </w:tcPr>
          <w:p w14:paraId="5D9DB8BB" w14:textId="77777777" w:rsidR="005D2879" w:rsidRPr="004D4C57" w:rsidRDefault="005D2879" w:rsidP="008116BE">
            <w:pPr>
              <w:rPr>
                <w:color w:val="000000" w:themeColor="text1"/>
                <w:sz w:val="20"/>
                <w:lang w:val="en-CA"/>
              </w:rPr>
            </w:pPr>
          </w:p>
        </w:tc>
        <w:tc>
          <w:tcPr>
            <w:tcW w:w="0" w:type="auto"/>
            <w:gridSpan w:val="2"/>
            <w:tcBorders>
              <w:left w:val="nil"/>
              <w:bottom w:val="single" w:sz="4" w:space="0" w:color="auto"/>
              <w:right w:val="nil"/>
            </w:tcBorders>
            <w:shd w:val="clear" w:color="auto" w:fill="FFFFFF"/>
            <w:tcMar>
              <w:top w:w="72" w:type="dxa"/>
              <w:left w:w="144" w:type="dxa"/>
              <w:bottom w:w="72" w:type="dxa"/>
              <w:right w:w="144" w:type="dxa"/>
            </w:tcMar>
          </w:tcPr>
          <w:p w14:paraId="449FAF08" w14:textId="17F75B84" w:rsidR="005D2879" w:rsidRPr="004D4C57" w:rsidRDefault="006642A2" w:rsidP="005D2879">
            <w:pPr>
              <w:jc w:val="center"/>
              <w:rPr>
                <w:color w:val="000000" w:themeColor="text1"/>
                <w:kern w:val="24"/>
                <w:sz w:val="20"/>
              </w:rPr>
            </w:pPr>
            <w:r w:rsidRPr="004D4C57">
              <w:rPr>
                <w:color w:val="000000" w:themeColor="text1"/>
                <w:kern w:val="24"/>
                <w:sz w:val="20"/>
              </w:rPr>
              <w:t>.27</w:t>
            </w:r>
          </w:p>
        </w:tc>
        <w:tc>
          <w:tcPr>
            <w:tcW w:w="0" w:type="auto"/>
            <w:tcBorders>
              <w:left w:val="nil"/>
              <w:bottom w:val="single" w:sz="4" w:space="0" w:color="auto"/>
              <w:right w:val="nil"/>
            </w:tcBorders>
            <w:shd w:val="clear" w:color="auto" w:fill="FFFFFF"/>
            <w:tcMar>
              <w:top w:w="72" w:type="dxa"/>
              <w:left w:w="144" w:type="dxa"/>
              <w:bottom w:w="72" w:type="dxa"/>
              <w:right w:w="144" w:type="dxa"/>
            </w:tcMar>
          </w:tcPr>
          <w:p w14:paraId="3D0AA13F" w14:textId="77777777" w:rsidR="005D2879" w:rsidRPr="004D4C57" w:rsidRDefault="005D2879" w:rsidP="008116BE">
            <w:pPr>
              <w:rPr>
                <w:color w:val="000000" w:themeColor="text1"/>
                <w:sz w:val="20"/>
                <w:lang w:val="en-CA"/>
              </w:rPr>
            </w:pPr>
          </w:p>
        </w:tc>
        <w:tc>
          <w:tcPr>
            <w:tcW w:w="0" w:type="auto"/>
            <w:gridSpan w:val="2"/>
            <w:tcBorders>
              <w:left w:val="nil"/>
              <w:bottom w:val="single" w:sz="4" w:space="0" w:color="auto"/>
              <w:right w:val="nil"/>
            </w:tcBorders>
            <w:shd w:val="clear" w:color="auto" w:fill="FFFFFF"/>
            <w:tcMar>
              <w:top w:w="72" w:type="dxa"/>
              <w:left w:w="144" w:type="dxa"/>
              <w:bottom w:w="72" w:type="dxa"/>
              <w:right w:w="144" w:type="dxa"/>
            </w:tcMar>
          </w:tcPr>
          <w:p w14:paraId="231D42A7" w14:textId="3F7AC494" w:rsidR="005D2879" w:rsidRPr="004D4C57" w:rsidRDefault="006642A2" w:rsidP="005D2879">
            <w:pPr>
              <w:jc w:val="center"/>
              <w:rPr>
                <w:color w:val="000000" w:themeColor="text1"/>
                <w:kern w:val="24"/>
                <w:sz w:val="20"/>
              </w:rPr>
            </w:pPr>
            <w:r w:rsidRPr="004D4C57">
              <w:rPr>
                <w:color w:val="000000" w:themeColor="text1"/>
                <w:kern w:val="24"/>
                <w:sz w:val="20"/>
              </w:rPr>
              <w:t>.58</w:t>
            </w:r>
          </w:p>
        </w:tc>
      </w:tr>
      <w:tr w:rsidR="004D4C57" w:rsidRPr="004D4C57" w14:paraId="684C6FFE" w14:textId="77777777" w:rsidTr="008116BE">
        <w:trPr>
          <w:trHeight w:val="283"/>
        </w:trPr>
        <w:tc>
          <w:tcPr>
            <w:tcW w:w="0" w:type="auto"/>
            <w:gridSpan w:val="7"/>
            <w:tcBorders>
              <w:left w:val="nil"/>
              <w:bottom w:val="nil"/>
              <w:right w:val="nil"/>
            </w:tcBorders>
            <w:shd w:val="clear" w:color="auto" w:fill="FFFFFF"/>
            <w:tcMar>
              <w:top w:w="72" w:type="dxa"/>
              <w:left w:w="144" w:type="dxa"/>
              <w:bottom w:w="72" w:type="dxa"/>
              <w:right w:w="144" w:type="dxa"/>
            </w:tcMar>
          </w:tcPr>
          <w:p w14:paraId="5FC01E04" w14:textId="32FF5CA2" w:rsidR="00FA0439" w:rsidRPr="004D4C57" w:rsidRDefault="00FA0439" w:rsidP="008116BE">
            <w:pPr>
              <w:jc w:val="center"/>
              <w:rPr>
                <w:color w:val="000000" w:themeColor="text1"/>
                <w:kern w:val="24"/>
                <w:sz w:val="20"/>
              </w:rPr>
            </w:pPr>
            <w:r w:rsidRPr="004D4C57">
              <w:rPr>
                <w:color w:val="000000" w:themeColor="text1"/>
                <w:kern w:val="24"/>
                <w:sz w:val="20"/>
              </w:rPr>
              <w:t>Model 2</w:t>
            </w:r>
          </w:p>
        </w:tc>
      </w:tr>
      <w:tr w:rsidR="004D4C57" w:rsidRPr="004D4C57" w14:paraId="5367F52D" w14:textId="77777777" w:rsidTr="008116BE">
        <w:trPr>
          <w:trHeight w:val="283"/>
        </w:trPr>
        <w:tc>
          <w:tcPr>
            <w:tcW w:w="0" w:type="auto"/>
            <w:tcBorders>
              <w:left w:val="nil"/>
              <w:bottom w:val="nil"/>
              <w:right w:val="nil"/>
            </w:tcBorders>
            <w:shd w:val="clear" w:color="auto" w:fill="FFFFFF"/>
            <w:tcMar>
              <w:top w:w="72" w:type="dxa"/>
              <w:left w:w="144" w:type="dxa"/>
              <w:bottom w:w="72" w:type="dxa"/>
              <w:right w:w="144" w:type="dxa"/>
            </w:tcMar>
          </w:tcPr>
          <w:p w14:paraId="2E4E9414" w14:textId="77777777" w:rsidR="00FA0439" w:rsidRPr="004D4C57" w:rsidRDefault="00FA0439" w:rsidP="008116BE">
            <w:pPr>
              <w:rPr>
                <w:color w:val="000000" w:themeColor="text1"/>
                <w:sz w:val="20"/>
              </w:rPr>
            </w:pPr>
            <w:r w:rsidRPr="004D4C57">
              <w:rPr>
                <w:color w:val="000000" w:themeColor="text1"/>
                <w:sz w:val="20"/>
              </w:rPr>
              <w:t xml:space="preserve">Baseline </w:t>
            </w:r>
          </w:p>
        </w:tc>
        <w:tc>
          <w:tcPr>
            <w:tcW w:w="0" w:type="auto"/>
            <w:tcBorders>
              <w:left w:val="nil"/>
              <w:bottom w:val="nil"/>
              <w:right w:val="nil"/>
            </w:tcBorders>
            <w:shd w:val="clear" w:color="auto" w:fill="FFFFFF"/>
            <w:tcMar>
              <w:top w:w="72" w:type="dxa"/>
              <w:left w:w="144" w:type="dxa"/>
              <w:bottom w:w="72" w:type="dxa"/>
              <w:right w:w="144" w:type="dxa"/>
            </w:tcMar>
          </w:tcPr>
          <w:p w14:paraId="7A8DB0E0" w14:textId="77777777" w:rsidR="00FA0439" w:rsidRPr="004D4C57" w:rsidRDefault="00FA0439" w:rsidP="008116BE">
            <w:pPr>
              <w:rPr>
                <w:color w:val="000000" w:themeColor="text1"/>
                <w:sz w:val="20"/>
                <w:lang w:val="en-CA"/>
              </w:rPr>
            </w:pPr>
          </w:p>
        </w:tc>
        <w:tc>
          <w:tcPr>
            <w:tcW w:w="0" w:type="auto"/>
            <w:tcBorders>
              <w:left w:val="nil"/>
              <w:bottom w:val="nil"/>
              <w:right w:val="nil"/>
            </w:tcBorders>
            <w:shd w:val="clear" w:color="auto" w:fill="FFFFFF"/>
            <w:tcMar>
              <w:top w:w="72" w:type="dxa"/>
              <w:left w:w="144" w:type="dxa"/>
              <w:bottom w:w="72" w:type="dxa"/>
              <w:right w:w="144" w:type="dxa"/>
            </w:tcMar>
          </w:tcPr>
          <w:p w14:paraId="28C78241" w14:textId="2BDAE182" w:rsidR="00FA0439" w:rsidRPr="004D4C57" w:rsidRDefault="00FA0439" w:rsidP="008116BE">
            <w:pPr>
              <w:rPr>
                <w:color w:val="000000" w:themeColor="text1"/>
                <w:sz w:val="20"/>
              </w:rPr>
            </w:pPr>
            <w:r w:rsidRPr="004D4C57">
              <w:rPr>
                <w:color w:val="000000" w:themeColor="text1"/>
                <w:sz w:val="20"/>
              </w:rPr>
              <w:t>.4</w:t>
            </w:r>
            <w:r w:rsidR="00C77260" w:rsidRPr="004D4C57">
              <w:rPr>
                <w:color w:val="000000" w:themeColor="text1"/>
                <w:sz w:val="20"/>
              </w:rPr>
              <w:t>2</w:t>
            </w:r>
            <w:r w:rsidRPr="004D4C57">
              <w:rPr>
                <w:color w:val="000000" w:themeColor="text1"/>
                <w:sz w:val="20"/>
                <w:vertAlign w:val="superscript"/>
              </w:rPr>
              <w:t>**</w:t>
            </w:r>
          </w:p>
        </w:tc>
        <w:tc>
          <w:tcPr>
            <w:tcW w:w="0" w:type="auto"/>
            <w:tcBorders>
              <w:left w:val="nil"/>
              <w:bottom w:val="nil"/>
              <w:right w:val="nil"/>
            </w:tcBorders>
            <w:shd w:val="clear" w:color="auto" w:fill="FFFFFF"/>
            <w:tcMar>
              <w:top w:w="72" w:type="dxa"/>
              <w:left w:w="144" w:type="dxa"/>
              <w:bottom w:w="72" w:type="dxa"/>
              <w:right w:w="144" w:type="dxa"/>
            </w:tcMar>
          </w:tcPr>
          <w:p w14:paraId="08DCBB47" w14:textId="77777777" w:rsidR="00FA0439" w:rsidRPr="004D4C57" w:rsidRDefault="00FA0439" w:rsidP="008116BE">
            <w:pPr>
              <w:rPr>
                <w:color w:val="000000" w:themeColor="text1"/>
                <w:sz w:val="20"/>
              </w:rPr>
            </w:pPr>
            <w:r w:rsidRPr="004D4C57">
              <w:rPr>
                <w:color w:val="000000" w:themeColor="text1"/>
                <w:sz w:val="20"/>
              </w:rPr>
              <w:t>(.040)</w:t>
            </w:r>
          </w:p>
        </w:tc>
        <w:tc>
          <w:tcPr>
            <w:tcW w:w="0" w:type="auto"/>
            <w:tcBorders>
              <w:left w:val="nil"/>
              <w:bottom w:val="nil"/>
              <w:right w:val="nil"/>
            </w:tcBorders>
            <w:shd w:val="clear" w:color="auto" w:fill="FFFFFF"/>
            <w:tcMar>
              <w:top w:w="72" w:type="dxa"/>
              <w:left w:w="144" w:type="dxa"/>
              <w:bottom w:w="72" w:type="dxa"/>
              <w:right w:w="144" w:type="dxa"/>
            </w:tcMar>
          </w:tcPr>
          <w:p w14:paraId="17094719" w14:textId="77777777" w:rsidR="00FA0439" w:rsidRPr="004D4C57" w:rsidRDefault="00FA0439" w:rsidP="008116BE">
            <w:pPr>
              <w:rPr>
                <w:color w:val="000000" w:themeColor="text1"/>
                <w:sz w:val="20"/>
                <w:lang w:val="en-CA"/>
              </w:rPr>
            </w:pPr>
          </w:p>
        </w:tc>
        <w:tc>
          <w:tcPr>
            <w:tcW w:w="0" w:type="auto"/>
            <w:tcBorders>
              <w:left w:val="nil"/>
              <w:bottom w:val="nil"/>
              <w:right w:val="nil"/>
            </w:tcBorders>
            <w:shd w:val="clear" w:color="auto" w:fill="FFFFFF"/>
            <w:tcMar>
              <w:top w:w="72" w:type="dxa"/>
              <w:left w:w="144" w:type="dxa"/>
              <w:bottom w:w="72" w:type="dxa"/>
              <w:right w:w="144" w:type="dxa"/>
            </w:tcMar>
          </w:tcPr>
          <w:p w14:paraId="59F93550" w14:textId="77777777" w:rsidR="00FA0439" w:rsidRPr="004D4C57" w:rsidRDefault="00FA0439" w:rsidP="008116BE">
            <w:pPr>
              <w:rPr>
                <w:color w:val="000000" w:themeColor="text1"/>
                <w:sz w:val="20"/>
              </w:rPr>
            </w:pPr>
            <w:r w:rsidRPr="004D4C57">
              <w:rPr>
                <w:color w:val="000000" w:themeColor="text1"/>
                <w:sz w:val="20"/>
              </w:rPr>
              <w:t>.77</w:t>
            </w:r>
            <w:r w:rsidRPr="004D4C57">
              <w:rPr>
                <w:color w:val="000000" w:themeColor="text1"/>
                <w:sz w:val="20"/>
                <w:vertAlign w:val="superscript"/>
              </w:rPr>
              <w:t>**</w:t>
            </w:r>
          </w:p>
        </w:tc>
        <w:tc>
          <w:tcPr>
            <w:tcW w:w="0" w:type="auto"/>
            <w:tcBorders>
              <w:left w:val="nil"/>
              <w:bottom w:val="nil"/>
              <w:right w:val="nil"/>
            </w:tcBorders>
            <w:shd w:val="clear" w:color="auto" w:fill="FFFFFF"/>
            <w:tcMar>
              <w:top w:w="72" w:type="dxa"/>
              <w:left w:w="144" w:type="dxa"/>
              <w:bottom w:w="72" w:type="dxa"/>
              <w:right w:w="144" w:type="dxa"/>
            </w:tcMar>
          </w:tcPr>
          <w:p w14:paraId="487F36D9" w14:textId="77777777" w:rsidR="00FA0439" w:rsidRPr="004D4C57" w:rsidRDefault="00FA0439" w:rsidP="008116BE">
            <w:pPr>
              <w:rPr>
                <w:color w:val="000000" w:themeColor="text1"/>
                <w:sz w:val="20"/>
              </w:rPr>
            </w:pPr>
            <w:r w:rsidRPr="004D4C57">
              <w:rPr>
                <w:color w:val="000000" w:themeColor="text1"/>
                <w:sz w:val="20"/>
              </w:rPr>
              <w:t>(.031)</w:t>
            </w:r>
          </w:p>
        </w:tc>
      </w:tr>
      <w:tr w:rsidR="004D4C57" w:rsidRPr="004D4C57" w14:paraId="71326CC4"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5635B116" w14:textId="6C93232E" w:rsidR="00FA0439" w:rsidRPr="004D4C57" w:rsidRDefault="00A85F69" w:rsidP="008116BE">
            <w:pPr>
              <w:rPr>
                <w:color w:val="000000" w:themeColor="text1"/>
                <w:sz w:val="20"/>
                <w:lang w:val="en-CA"/>
              </w:rPr>
            </w:pPr>
            <w:r w:rsidRPr="004D4C57">
              <w:rPr>
                <w:color w:val="000000" w:themeColor="text1"/>
                <w:sz w:val="20"/>
              </w:rPr>
              <w:t>Retirement</w:t>
            </w:r>
            <w:r w:rsidR="00FA0439" w:rsidRPr="004D4C57">
              <w:rPr>
                <w:color w:val="000000" w:themeColor="text1"/>
                <w:sz w:val="20"/>
              </w:rPr>
              <w:t xml:space="preserve"> Status (</w:t>
            </w:r>
            <w:r w:rsidRPr="004D4C57">
              <w:rPr>
                <w:color w:val="000000" w:themeColor="text1"/>
                <w:sz w:val="20"/>
              </w:rPr>
              <w:t>R</w:t>
            </w:r>
            <w:r w:rsidR="00FA0439" w:rsidRPr="004D4C57">
              <w:rPr>
                <w:color w:val="000000" w:themeColor="text1"/>
                <w:sz w:val="20"/>
              </w:rPr>
              <w:t>S)</w:t>
            </w:r>
          </w:p>
        </w:tc>
        <w:tc>
          <w:tcPr>
            <w:tcW w:w="0" w:type="auto"/>
            <w:tcBorders>
              <w:top w:val="nil"/>
              <w:left w:val="nil"/>
              <w:bottom w:val="nil"/>
              <w:right w:val="nil"/>
            </w:tcBorders>
            <w:shd w:val="clear" w:color="auto" w:fill="FFFFFF"/>
            <w:tcMar>
              <w:top w:w="72" w:type="dxa"/>
              <w:left w:w="144" w:type="dxa"/>
              <w:bottom w:w="72" w:type="dxa"/>
              <w:right w:w="144" w:type="dxa"/>
            </w:tcMar>
          </w:tcPr>
          <w:p w14:paraId="038EAA39"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tcPr>
          <w:p w14:paraId="13250D99" w14:textId="0709EFD4" w:rsidR="00FA0439" w:rsidRPr="004D4C57" w:rsidRDefault="00C77260" w:rsidP="008116BE">
            <w:pPr>
              <w:rPr>
                <w:color w:val="000000" w:themeColor="text1"/>
                <w:sz w:val="20"/>
                <w:lang w:val="en-CA"/>
              </w:rPr>
            </w:pPr>
            <w:r w:rsidRPr="004D4C57">
              <w:rPr>
                <w:color w:val="000000" w:themeColor="text1"/>
                <w:sz w:val="20"/>
                <w:lang w:val="en-CA"/>
              </w:rPr>
              <w:t>-</w:t>
            </w:r>
            <w:r w:rsidR="00FA0439" w:rsidRPr="004D4C57">
              <w:rPr>
                <w:color w:val="000000" w:themeColor="text1"/>
                <w:sz w:val="20"/>
                <w:lang w:val="en-CA"/>
              </w:rPr>
              <w:t>.08</w:t>
            </w:r>
          </w:p>
        </w:tc>
        <w:tc>
          <w:tcPr>
            <w:tcW w:w="0" w:type="auto"/>
            <w:tcBorders>
              <w:top w:val="nil"/>
              <w:left w:val="nil"/>
              <w:bottom w:val="nil"/>
              <w:right w:val="nil"/>
            </w:tcBorders>
            <w:shd w:val="clear" w:color="auto" w:fill="FFFFFF"/>
            <w:tcMar>
              <w:top w:w="72" w:type="dxa"/>
              <w:left w:w="144" w:type="dxa"/>
              <w:bottom w:w="72" w:type="dxa"/>
              <w:right w:w="144" w:type="dxa"/>
            </w:tcMar>
          </w:tcPr>
          <w:p w14:paraId="0F87659A" w14:textId="400F4130" w:rsidR="00FA0439" w:rsidRPr="004D4C57" w:rsidRDefault="00FA0439" w:rsidP="008116BE">
            <w:pPr>
              <w:rPr>
                <w:color w:val="000000" w:themeColor="text1"/>
                <w:sz w:val="20"/>
                <w:lang w:val="en-CA"/>
              </w:rPr>
            </w:pPr>
            <w:r w:rsidRPr="004D4C57">
              <w:rPr>
                <w:color w:val="000000" w:themeColor="text1"/>
                <w:sz w:val="20"/>
                <w:lang w:val="en-CA"/>
              </w:rPr>
              <w:t>(.07</w:t>
            </w:r>
            <w:r w:rsidR="00C77260" w:rsidRPr="004D4C57">
              <w:rPr>
                <w:color w:val="000000" w:themeColor="text1"/>
                <w:sz w:val="20"/>
                <w:lang w:val="en-CA"/>
              </w:rPr>
              <w:t>0</w:t>
            </w:r>
            <w:r w:rsidRPr="004D4C57">
              <w:rPr>
                <w:color w:val="000000" w:themeColor="text1"/>
                <w:sz w:val="20"/>
                <w:lang w:val="en-CA"/>
              </w:rPr>
              <w:t>)</w:t>
            </w:r>
          </w:p>
        </w:tc>
        <w:tc>
          <w:tcPr>
            <w:tcW w:w="0" w:type="auto"/>
            <w:tcBorders>
              <w:top w:val="nil"/>
              <w:left w:val="nil"/>
              <w:bottom w:val="nil"/>
              <w:right w:val="nil"/>
            </w:tcBorders>
            <w:shd w:val="clear" w:color="auto" w:fill="FFFFFF"/>
            <w:tcMar>
              <w:top w:w="72" w:type="dxa"/>
              <w:left w:w="144" w:type="dxa"/>
              <w:bottom w:w="72" w:type="dxa"/>
              <w:right w:w="144" w:type="dxa"/>
            </w:tcMar>
          </w:tcPr>
          <w:p w14:paraId="58516F34"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tcPr>
          <w:p w14:paraId="472408D0" w14:textId="0997B1AF" w:rsidR="00FA0439" w:rsidRPr="004D4C57" w:rsidRDefault="00512989" w:rsidP="008116BE">
            <w:pPr>
              <w:rPr>
                <w:color w:val="000000" w:themeColor="text1"/>
                <w:sz w:val="20"/>
                <w:lang w:val="en-CA"/>
              </w:rPr>
            </w:pPr>
            <w:r w:rsidRPr="004D4C57">
              <w:rPr>
                <w:color w:val="000000" w:themeColor="text1"/>
                <w:sz w:val="20"/>
                <w:lang w:val="en-CA"/>
              </w:rPr>
              <w:t>-</w:t>
            </w:r>
            <w:r w:rsidR="00FA0439" w:rsidRPr="004D4C57">
              <w:rPr>
                <w:color w:val="000000" w:themeColor="text1"/>
                <w:sz w:val="20"/>
                <w:lang w:val="en-CA"/>
              </w:rPr>
              <w:t>.03</w:t>
            </w:r>
          </w:p>
        </w:tc>
        <w:tc>
          <w:tcPr>
            <w:tcW w:w="0" w:type="auto"/>
            <w:tcBorders>
              <w:top w:val="nil"/>
              <w:left w:val="nil"/>
              <w:bottom w:val="nil"/>
              <w:right w:val="nil"/>
            </w:tcBorders>
            <w:shd w:val="clear" w:color="auto" w:fill="FFFFFF"/>
            <w:tcMar>
              <w:top w:w="72" w:type="dxa"/>
              <w:left w:w="144" w:type="dxa"/>
              <w:bottom w:w="72" w:type="dxa"/>
              <w:right w:w="144" w:type="dxa"/>
            </w:tcMar>
          </w:tcPr>
          <w:p w14:paraId="4C72F51E" w14:textId="77777777" w:rsidR="00FA0439" w:rsidRPr="004D4C57" w:rsidRDefault="00FA0439" w:rsidP="008116BE">
            <w:pPr>
              <w:rPr>
                <w:color w:val="000000" w:themeColor="text1"/>
                <w:sz w:val="20"/>
                <w:lang w:val="en-CA"/>
              </w:rPr>
            </w:pPr>
            <w:r w:rsidRPr="004D4C57">
              <w:rPr>
                <w:color w:val="000000" w:themeColor="text1"/>
                <w:sz w:val="20"/>
                <w:lang w:val="en-CA"/>
              </w:rPr>
              <w:t>(.036)</w:t>
            </w:r>
          </w:p>
        </w:tc>
      </w:tr>
      <w:tr w:rsidR="004D4C57" w:rsidRPr="004D4C57" w14:paraId="22CB339D"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3683987C" w14:textId="77777777" w:rsidR="00FA0439" w:rsidRPr="004D4C57" w:rsidRDefault="00FA0439" w:rsidP="008116BE">
            <w:pPr>
              <w:rPr>
                <w:color w:val="000000" w:themeColor="text1"/>
                <w:sz w:val="20"/>
                <w:lang w:val="en-CA"/>
              </w:rPr>
            </w:pPr>
            <w:r w:rsidRPr="004D4C57">
              <w:rPr>
                <w:color w:val="000000" w:themeColor="text1"/>
                <w:sz w:val="20"/>
              </w:rPr>
              <w:t>Goal Disengagement (GD)</w:t>
            </w:r>
          </w:p>
        </w:tc>
        <w:tc>
          <w:tcPr>
            <w:tcW w:w="0" w:type="auto"/>
            <w:tcBorders>
              <w:top w:val="nil"/>
              <w:left w:val="nil"/>
              <w:bottom w:val="nil"/>
              <w:right w:val="nil"/>
            </w:tcBorders>
            <w:shd w:val="clear" w:color="auto" w:fill="FFFFFF"/>
            <w:tcMar>
              <w:top w:w="72" w:type="dxa"/>
              <w:left w:w="144" w:type="dxa"/>
              <w:bottom w:w="72" w:type="dxa"/>
              <w:right w:w="144" w:type="dxa"/>
            </w:tcMar>
          </w:tcPr>
          <w:p w14:paraId="2E404CE0"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tcPr>
          <w:p w14:paraId="73D1F707" w14:textId="352A89EB" w:rsidR="00FA0439" w:rsidRPr="004D4C57" w:rsidRDefault="00FA0439" w:rsidP="008116BE">
            <w:pPr>
              <w:rPr>
                <w:color w:val="000000" w:themeColor="text1"/>
                <w:sz w:val="20"/>
                <w:lang w:val="en-CA"/>
              </w:rPr>
            </w:pPr>
            <w:r w:rsidRPr="004D4C57">
              <w:rPr>
                <w:color w:val="000000" w:themeColor="text1"/>
                <w:sz w:val="20"/>
                <w:lang w:val="en-CA"/>
              </w:rPr>
              <w:t>-.</w:t>
            </w:r>
            <w:r w:rsidR="00C77260" w:rsidRPr="004D4C57">
              <w:rPr>
                <w:color w:val="000000" w:themeColor="text1"/>
                <w:sz w:val="20"/>
                <w:lang w:val="en-CA"/>
              </w:rPr>
              <w:t>10</w:t>
            </w:r>
            <w:r w:rsidR="00C77260" w:rsidRPr="004D4C57">
              <w:rPr>
                <w:color w:val="000000" w:themeColor="text1"/>
                <w:sz w:val="20"/>
                <w:vertAlign w:val="superscript"/>
                <w:lang w:val="en-CA"/>
              </w:rPr>
              <w:t>†</w:t>
            </w:r>
          </w:p>
        </w:tc>
        <w:tc>
          <w:tcPr>
            <w:tcW w:w="0" w:type="auto"/>
            <w:tcBorders>
              <w:top w:val="nil"/>
              <w:left w:val="nil"/>
              <w:bottom w:val="nil"/>
              <w:right w:val="nil"/>
            </w:tcBorders>
            <w:shd w:val="clear" w:color="auto" w:fill="FFFFFF"/>
            <w:tcMar>
              <w:top w:w="72" w:type="dxa"/>
              <w:left w:w="144" w:type="dxa"/>
              <w:bottom w:w="72" w:type="dxa"/>
              <w:right w:w="144" w:type="dxa"/>
            </w:tcMar>
          </w:tcPr>
          <w:p w14:paraId="58FEB696" w14:textId="78D57BB8" w:rsidR="00FA0439" w:rsidRPr="004D4C57" w:rsidRDefault="00FA0439" w:rsidP="008116BE">
            <w:pPr>
              <w:rPr>
                <w:color w:val="000000" w:themeColor="text1"/>
                <w:sz w:val="20"/>
                <w:lang w:val="en-CA"/>
              </w:rPr>
            </w:pPr>
            <w:r w:rsidRPr="004D4C57">
              <w:rPr>
                <w:color w:val="000000" w:themeColor="text1"/>
                <w:sz w:val="20"/>
                <w:lang w:val="en-CA"/>
              </w:rPr>
              <w:t>(.05</w:t>
            </w:r>
            <w:r w:rsidR="00C77260" w:rsidRPr="004D4C57">
              <w:rPr>
                <w:color w:val="000000" w:themeColor="text1"/>
                <w:sz w:val="20"/>
                <w:lang w:val="en-CA"/>
              </w:rPr>
              <w:t>7</w:t>
            </w:r>
            <w:r w:rsidRPr="004D4C57">
              <w:rPr>
                <w:color w:val="000000" w:themeColor="text1"/>
                <w:sz w:val="20"/>
                <w:lang w:val="en-CA"/>
              </w:rPr>
              <w:t>)</w:t>
            </w:r>
          </w:p>
        </w:tc>
        <w:tc>
          <w:tcPr>
            <w:tcW w:w="0" w:type="auto"/>
            <w:tcBorders>
              <w:top w:val="nil"/>
              <w:left w:val="nil"/>
              <w:bottom w:val="nil"/>
              <w:right w:val="nil"/>
            </w:tcBorders>
            <w:shd w:val="clear" w:color="auto" w:fill="FFFFFF"/>
            <w:tcMar>
              <w:top w:w="72" w:type="dxa"/>
              <w:left w:w="144" w:type="dxa"/>
              <w:bottom w:w="72" w:type="dxa"/>
              <w:right w:w="144" w:type="dxa"/>
            </w:tcMar>
          </w:tcPr>
          <w:p w14:paraId="3EAF79D3"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tcPr>
          <w:p w14:paraId="6CE16B9E" w14:textId="56A039F1" w:rsidR="00FA0439" w:rsidRPr="004D4C57" w:rsidRDefault="00FA0439" w:rsidP="008116BE">
            <w:pPr>
              <w:rPr>
                <w:color w:val="000000" w:themeColor="text1"/>
                <w:sz w:val="20"/>
                <w:lang w:val="en-CA"/>
              </w:rPr>
            </w:pPr>
            <w:r w:rsidRPr="004D4C57">
              <w:rPr>
                <w:color w:val="000000" w:themeColor="text1"/>
                <w:sz w:val="20"/>
                <w:lang w:val="en-CA"/>
              </w:rPr>
              <w:t>-.0</w:t>
            </w:r>
            <w:r w:rsidR="00512989" w:rsidRPr="004D4C57">
              <w:rPr>
                <w:color w:val="000000" w:themeColor="text1"/>
                <w:sz w:val="20"/>
                <w:lang w:val="en-CA"/>
              </w:rPr>
              <w:t>2</w:t>
            </w:r>
          </w:p>
        </w:tc>
        <w:tc>
          <w:tcPr>
            <w:tcW w:w="0" w:type="auto"/>
            <w:tcBorders>
              <w:top w:val="nil"/>
              <w:left w:val="nil"/>
              <w:bottom w:val="nil"/>
              <w:right w:val="nil"/>
            </w:tcBorders>
            <w:shd w:val="clear" w:color="auto" w:fill="FFFFFF"/>
            <w:tcMar>
              <w:top w:w="72" w:type="dxa"/>
              <w:left w:w="144" w:type="dxa"/>
              <w:bottom w:w="72" w:type="dxa"/>
              <w:right w:w="144" w:type="dxa"/>
            </w:tcMar>
          </w:tcPr>
          <w:p w14:paraId="1EEA6FAE" w14:textId="77777777" w:rsidR="00FA0439" w:rsidRPr="004D4C57" w:rsidRDefault="00FA0439" w:rsidP="008116BE">
            <w:pPr>
              <w:rPr>
                <w:color w:val="000000" w:themeColor="text1"/>
                <w:sz w:val="20"/>
                <w:lang w:val="en-CA"/>
              </w:rPr>
            </w:pPr>
            <w:r w:rsidRPr="004D4C57">
              <w:rPr>
                <w:color w:val="000000" w:themeColor="text1"/>
                <w:sz w:val="20"/>
                <w:lang w:val="en-CA"/>
              </w:rPr>
              <w:t>(.029)</w:t>
            </w:r>
          </w:p>
        </w:tc>
      </w:tr>
      <w:tr w:rsidR="004D4C57" w:rsidRPr="004D4C57" w14:paraId="77393025"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6887D9DC" w14:textId="26076549" w:rsidR="00FA0439" w:rsidRPr="004D4C57" w:rsidRDefault="00555E98" w:rsidP="008116BE">
            <w:pPr>
              <w:rPr>
                <w:color w:val="000000" w:themeColor="text1"/>
                <w:sz w:val="20"/>
                <w:lang w:val="en-CA"/>
              </w:rPr>
            </w:pPr>
            <w:r w:rsidRPr="004D4C57">
              <w:rPr>
                <w:color w:val="000000" w:themeColor="text1"/>
                <w:sz w:val="20"/>
              </w:rPr>
              <w:t>Gender (female)</w:t>
            </w:r>
          </w:p>
        </w:tc>
        <w:tc>
          <w:tcPr>
            <w:tcW w:w="0" w:type="auto"/>
            <w:tcBorders>
              <w:top w:val="nil"/>
              <w:left w:val="nil"/>
              <w:bottom w:val="nil"/>
              <w:right w:val="nil"/>
            </w:tcBorders>
            <w:shd w:val="clear" w:color="auto" w:fill="FFFFFF"/>
            <w:tcMar>
              <w:top w:w="72" w:type="dxa"/>
              <w:left w:w="144" w:type="dxa"/>
              <w:bottom w:w="72" w:type="dxa"/>
              <w:right w:w="144" w:type="dxa"/>
            </w:tcMar>
          </w:tcPr>
          <w:p w14:paraId="42DD2D0F"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tcPr>
          <w:p w14:paraId="3A166A92" w14:textId="6AD40BAB" w:rsidR="00FA0439" w:rsidRPr="004D4C57" w:rsidRDefault="00FA0439" w:rsidP="008116BE">
            <w:pPr>
              <w:rPr>
                <w:color w:val="000000" w:themeColor="text1"/>
                <w:sz w:val="20"/>
                <w:lang w:val="en-CA"/>
              </w:rPr>
            </w:pPr>
            <w:r w:rsidRPr="004D4C57">
              <w:rPr>
                <w:color w:val="000000" w:themeColor="text1"/>
                <w:sz w:val="20"/>
                <w:lang w:val="en-CA"/>
              </w:rPr>
              <w:t>.</w:t>
            </w:r>
            <w:r w:rsidR="00C77260" w:rsidRPr="004D4C57">
              <w:rPr>
                <w:color w:val="000000" w:themeColor="text1"/>
                <w:sz w:val="20"/>
                <w:lang w:val="en-CA"/>
              </w:rPr>
              <w:t>42</w:t>
            </w:r>
            <w:r w:rsidRPr="004D4C57">
              <w:rPr>
                <w:color w:val="000000" w:themeColor="text1"/>
                <w:sz w:val="20"/>
                <w:vertAlign w:val="superscript"/>
              </w:rPr>
              <w:t>**</w:t>
            </w:r>
          </w:p>
        </w:tc>
        <w:tc>
          <w:tcPr>
            <w:tcW w:w="0" w:type="auto"/>
            <w:tcBorders>
              <w:top w:val="nil"/>
              <w:left w:val="nil"/>
              <w:bottom w:val="nil"/>
              <w:right w:val="nil"/>
            </w:tcBorders>
            <w:shd w:val="clear" w:color="auto" w:fill="FFFFFF"/>
            <w:tcMar>
              <w:top w:w="72" w:type="dxa"/>
              <w:left w:w="144" w:type="dxa"/>
              <w:bottom w:w="72" w:type="dxa"/>
              <w:right w:w="144" w:type="dxa"/>
            </w:tcMar>
          </w:tcPr>
          <w:p w14:paraId="09033FE1" w14:textId="5280674D" w:rsidR="00FA0439" w:rsidRPr="004D4C57" w:rsidRDefault="00FA0439" w:rsidP="008116BE">
            <w:pPr>
              <w:rPr>
                <w:color w:val="000000" w:themeColor="text1"/>
                <w:sz w:val="20"/>
                <w:lang w:val="en-CA"/>
              </w:rPr>
            </w:pPr>
            <w:r w:rsidRPr="004D4C57">
              <w:rPr>
                <w:color w:val="000000" w:themeColor="text1"/>
                <w:sz w:val="20"/>
                <w:lang w:val="en-CA"/>
              </w:rPr>
              <w:t>(.07</w:t>
            </w:r>
            <w:r w:rsidR="00C77260" w:rsidRPr="004D4C57">
              <w:rPr>
                <w:color w:val="000000" w:themeColor="text1"/>
                <w:sz w:val="20"/>
                <w:lang w:val="en-CA"/>
              </w:rPr>
              <w:t>4</w:t>
            </w:r>
            <w:r w:rsidRPr="004D4C57">
              <w:rPr>
                <w:color w:val="000000" w:themeColor="text1"/>
                <w:sz w:val="20"/>
                <w:lang w:val="en-CA"/>
              </w:rPr>
              <w:t>)</w:t>
            </w:r>
          </w:p>
        </w:tc>
        <w:tc>
          <w:tcPr>
            <w:tcW w:w="0" w:type="auto"/>
            <w:tcBorders>
              <w:top w:val="nil"/>
              <w:left w:val="nil"/>
              <w:bottom w:val="nil"/>
              <w:right w:val="nil"/>
            </w:tcBorders>
            <w:shd w:val="clear" w:color="auto" w:fill="FFFFFF"/>
            <w:tcMar>
              <w:top w:w="72" w:type="dxa"/>
              <w:left w:w="144" w:type="dxa"/>
              <w:bottom w:w="72" w:type="dxa"/>
              <w:right w:w="144" w:type="dxa"/>
            </w:tcMar>
          </w:tcPr>
          <w:p w14:paraId="5CB6503C"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tcPr>
          <w:p w14:paraId="59310229" w14:textId="610CBA1F" w:rsidR="00FA0439" w:rsidRPr="004D4C57" w:rsidRDefault="00FA0439" w:rsidP="008116BE">
            <w:pPr>
              <w:rPr>
                <w:color w:val="000000" w:themeColor="text1"/>
                <w:sz w:val="20"/>
                <w:lang w:val="en-CA"/>
              </w:rPr>
            </w:pPr>
            <w:r w:rsidRPr="004D4C57">
              <w:rPr>
                <w:color w:val="000000" w:themeColor="text1"/>
                <w:sz w:val="20"/>
                <w:lang w:val="en-CA"/>
              </w:rPr>
              <w:t>-.0</w:t>
            </w:r>
            <w:r w:rsidR="00512989" w:rsidRPr="004D4C57">
              <w:rPr>
                <w:color w:val="000000" w:themeColor="text1"/>
                <w:sz w:val="20"/>
                <w:lang w:val="en-CA"/>
              </w:rPr>
              <w:t>6</w:t>
            </w:r>
            <w:r w:rsidR="00512989" w:rsidRPr="004D4C57">
              <w:rPr>
                <w:color w:val="000000" w:themeColor="text1"/>
                <w:sz w:val="20"/>
                <w:vertAlign w:val="superscript"/>
                <w:lang w:val="en-CA"/>
              </w:rPr>
              <w:t>†</w:t>
            </w:r>
          </w:p>
        </w:tc>
        <w:tc>
          <w:tcPr>
            <w:tcW w:w="0" w:type="auto"/>
            <w:tcBorders>
              <w:top w:val="nil"/>
              <w:left w:val="nil"/>
              <w:bottom w:val="nil"/>
              <w:right w:val="nil"/>
            </w:tcBorders>
            <w:shd w:val="clear" w:color="auto" w:fill="FFFFFF"/>
            <w:tcMar>
              <w:top w:w="72" w:type="dxa"/>
              <w:left w:w="144" w:type="dxa"/>
              <w:bottom w:w="72" w:type="dxa"/>
              <w:right w:w="144" w:type="dxa"/>
            </w:tcMar>
          </w:tcPr>
          <w:p w14:paraId="482CBC1B" w14:textId="42FF8E8E" w:rsidR="00FA0439" w:rsidRPr="004D4C57" w:rsidRDefault="00FA0439" w:rsidP="008116BE">
            <w:pPr>
              <w:rPr>
                <w:color w:val="000000" w:themeColor="text1"/>
                <w:sz w:val="20"/>
                <w:lang w:val="en-CA"/>
              </w:rPr>
            </w:pPr>
            <w:r w:rsidRPr="004D4C57">
              <w:rPr>
                <w:color w:val="000000" w:themeColor="text1"/>
                <w:sz w:val="20"/>
                <w:lang w:val="en-CA"/>
              </w:rPr>
              <w:t>(.03</w:t>
            </w:r>
            <w:r w:rsidR="00512989" w:rsidRPr="004D4C57">
              <w:rPr>
                <w:color w:val="000000" w:themeColor="text1"/>
                <w:sz w:val="20"/>
                <w:lang w:val="en-CA"/>
              </w:rPr>
              <w:t>7</w:t>
            </w:r>
            <w:r w:rsidRPr="004D4C57">
              <w:rPr>
                <w:color w:val="000000" w:themeColor="text1"/>
                <w:sz w:val="20"/>
                <w:lang w:val="en-CA"/>
              </w:rPr>
              <w:t>)</w:t>
            </w:r>
          </w:p>
        </w:tc>
      </w:tr>
      <w:tr w:rsidR="004D4C57" w:rsidRPr="004D4C57" w14:paraId="3A955AAB" w14:textId="77777777" w:rsidTr="005D2879">
        <w:trPr>
          <w:trHeight w:val="283"/>
        </w:trPr>
        <w:tc>
          <w:tcPr>
            <w:tcW w:w="0" w:type="auto"/>
            <w:tcBorders>
              <w:top w:val="nil"/>
              <w:left w:val="nil"/>
              <w:right w:val="nil"/>
            </w:tcBorders>
            <w:shd w:val="clear" w:color="auto" w:fill="FFFFFF"/>
            <w:tcMar>
              <w:top w:w="72" w:type="dxa"/>
              <w:left w:w="144" w:type="dxa"/>
              <w:bottom w:w="72" w:type="dxa"/>
              <w:right w:w="144" w:type="dxa"/>
            </w:tcMar>
            <w:hideMark/>
          </w:tcPr>
          <w:p w14:paraId="67F90190" w14:textId="02894D31" w:rsidR="00FA0439" w:rsidRPr="004D4C57" w:rsidRDefault="00A85F69" w:rsidP="008116BE">
            <w:pPr>
              <w:rPr>
                <w:color w:val="000000" w:themeColor="text1"/>
                <w:sz w:val="20"/>
                <w:lang w:val="en-CA"/>
              </w:rPr>
            </w:pPr>
            <w:r w:rsidRPr="004D4C57">
              <w:rPr>
                <w:color w:val="000000" w:themeColor="text1"/>
                <w:sz w:val="20"/>
              </w:rPr>
              <w:t>R</w:t>
            </w:r>
            <w:r w:rsidR="00FA0439" w:rsidRPr="004D4C57">
              <w:rPr>
                <w:color w:val="000000" w:themeColor="text1"/>
                <w:sz w:val="20"/>
              </w:rPr>
              <w:t>S x GD</w:t>
            </w:r>
          </w:p>
        </w:tc>
        <w:tc>
          <w:tcPr>
            <w:tcW w:w="0" w:type="auto"/>
            <w:tcBorders>
              <w:top w:val="nil"/>
              <w:left w:val="nil"/>
              <w:right w:val="nil"/>
            </w:tcBorders>
            <w:shd w:val="clear" w:color="auto" w:fill="FFFFFF"/>
            <w:tcMar>
              <w:top w:w="72" w:type="dxa"/>
              <w:left w:w="144" w:type="dxa"/>
              <w:bottom w:w="72" w:type="dxa"/>
              <w:right w:w="144" w:type="dxa"/>
            </w:tcMar>
          </w:tcPr>
          <w:p w14:paraId="68BBA19F" w14:textId="77777777" w:rsidR="00FA0439" w:rsidRPr="004D4C57" w:rsidRDefault="00FA0439" w:rsidP="008116BE">
            <w:pPr>
              <w:rPr>
                <w:color w:val="000000" w:themeColor="text1"/>
                <w:sz w:val="20"/>
                <w:lang w:val="en-CA"/>
              </w:rPr>
            </w:pPr>
          </w:p>
        </w:tc>
        <w:tc>
          <w:tcPr>
            <w:tcW w:w="0" w:type="auto"/>
            <w:tcBorders>
              <w:top w:val="nil"/>
              <w:left w:val="nil"/>
              <w:right w:val="nil"/>
            </w:tcBorders>
            <w:shd w:val="clear" w:color="auto" w:fill="FFFFFF"/>
            <w:tcMar>
              <w:top w:w="72" w:type="dxa"/>
              <w:left w:w="144" w:type="dxa"/>
              <w:bottom w:w="72" w:type="dxa"/>
              <w:right w:w="144" w:type="dxa"/>
            </w:tcMar>
          </w:tcPr>
          <w:p w14:paraId="013439F7" w14:textId="3BA160EA" w:rsidR="00FA0439" w:rsidRPr="004D4C57" w:rsidRDefault="00C77260" w:rsidP="008116BE">
            <w:pPr>
              <w:rPr>
                <w:color w:val="000000" w:themeColor="text1"/>
                <w:sz w:val="20"/>
                <w:lang w:val="en-CA"/>
              </w:rPr>
            </w:pPr>
            <w:r w:rsidRPr="004D4C57">
              <w:rPr>
                <w:color w:val="000000" w:themeColor="text1"/>
                <w:sz w:val="20"/>
                <w:lang w:val="en-CA"/>
              </w:rPr>
              <w:t>-</w:t>
            </w:r>
            <w:r w:rsidR="00FA0439" w:rsidRPr="004D4C57">
              <w:rPr>
                <w:color w:val="000000" w:themeColor="text1"/>
                <w:sz w:val="20"/>
                <w:lang w:val="en-CA"/>
              </w:rPr>
              <w:t>.</w:t>
            </w:r>
            <w:r w:rsidRPr="004D4C57">
              <w:rPr>
                <w:color w:val="000000" w:themeColor="text1"/>
                <w:sz w:val="20"/>
                <w:lang w:val="en-CA"/>
              </w:rPr>
              <w:t>19</w:t>
            </w:r>
            <w:r w:rsidR="00FA0439" w:rsidRPr="004D4C57">
              <w:rPr>
                <w:color w:val="000000" w:themeColor="text1"/>
                <w:sz w:val="20"/>
                <w:vertAlign w:val="superscript"/>
                <w:lang w:val="en-CA"/>
              </w:rPr>
              <w:t>†</w:t>
            </w:r>
          </w:p>
        </w:tc>
        <w:tc>
          <w:tcPr>
            <w:tcW w:w="0" w:type="auto"/>
            <w:tcBorders>
              <w:top w:val="nil"/>
              <w:left w:val="nil"/>
              <w:right w:val="nil"/>
            </w:tcBorders>
            <w:shd w:val="clear" w:color="auto" w:fill="FFFFFF"/>
            <w:tcMar>
              <w:top w:w="72" w:type="dxa"/>
              <w:left w:w="144" w:type="dxa"/>
              <w:bottom w:w="72" w:type="dxa"/>
              <w:right w:w="144" w:type="dxa"/>
            </w:tcMar>
          </w:tcPr>
          <w:p w14:paraId="4BA06D1B" w14:textId="2CA986BB" w:rsidR="00FA0439" w:rsidRPr="004D4C57" w:rsidRDefault="00FA0439" w:rsidP="008116BE">
            <w:pPr>
              <w:rPr>
                <w:color w:val="000000" w:themeColor="text1"/>
                <w:sz w:val="20"/>
                <w:lang w:val="en-CA"/>
              </w:rPr>
            </w:pPr>
            <w:r w:rsidRPr="004D4C57">
              <w:rPr>
                <w:color w:val="000000" w:themeColor="text1"/>
                <w:sz w:val="20"/>
                <w:lang w:val="en-CA"/>
              </w:rPr>
              <w:t>(.11</w:t>
            </w:r>
            <w:r w:rsidR="00C77260" w:rsidRPr="004D4C57">
              <w:rPr>
                <w:color w:val="000000" w:themeColor="text1"/>
                <w:sz w:val="20"/>
                <w:lang w:val="en-CA"/>
              </w:rPr>
              <w:t>3</w:t>
            </w:r>
            <w:r w:rsidRPr="004D4C57">
              <w:rPr>
                <w:color w:val="000000" w:themeColor="text1"/>
                <w:sz w:val="20"/>
                <w:lang w:val="en-CA"/>
              </w:rPr>
              <w:t>)</w:t>
            </w:r>
          </w:p>
        </w:tc>
        <w:tc>
          <w:tcPr>
            <w:tcW w:w="0" w:type="auto"/>
            <w:tcBorders>
              <w:top w:val="nil"/>
              <w:left w:val="nil"/>
              <w:right w:val="nil"/>
            </w:tcBorders>
            <w:shd w:val="clear" w:color="auto" w:fill="FFFFFF"/>
            <w:tcMar>
              <w:top w:w="72" w:type="dxa"/>
              <w:left w:w="144" w:type="dxa"/>
              <w:bottom w:w="72" w:type="dxa"/>
              <w:right w:w="144" w:type="dxa"/>
            </w:tcMar>
          </w:tcPr>
          <w:p w14:paraId="64867D60" w14:textId="77777777" w:rsidR="00FA0439" w:rsidRPr="004D4C57" w:rsidRDefault="00FA0439" w:rsidP="008116BE">
            <w:pPr>
              <w:rPr>
                <w:color w:val="000000" w:themeColor="text1"/>
                <w:sz w:val="20"/>
                <w:lang w:val="en-CA"/>
              </w:rPr>
            </w:pPr>
          </w:p>
        </w:tc>
        <w:tc>
          <w:tcPr>
            <w:tcW w:w="0" w:type="auto"/>
            <w:tcBorders>
              <w:top w:val="nil"/>
              <w:left w:val="nil"/>
              <w:right w:val="nil"/>
            </w:tcBorders>
            <w:shd w:val="clear" w:color="auto" w:fill="FFFFFF"/>
            <w:tcMar>
              <w:top w:w="72" w:type="dxa"/>
              <w:left w:w="144" w:type="dxa"/>
              <w:bottom w:w="72" w:type="dxa"/>
              <w:right w:w="144" w:type="dxa"/>
            </w:tcMar>
          </w:tcPr>
          <w:p w14:paraId="1684A5A4" w14:textId="404D1D9D" w:rsidR="00FA0439" w:rsidRPr="004D4C57" w:rsidRDefault="00512989" w:rsidP="008116BE">
            <w:pPr>
              <w:rPr>
                <w:color w:val="000000" w:themeColor="text1"/>
                <w:sz w:val="20"/>
                <w:lang w:val="en-CA"/>
              </w:rPr>
            </w:pPr>
            <w:r w:rsidRPr="004D4C57">
              <w:rPr>
                <w:color w:val="000000" w:themeColor="text1"/>
                <w:sz w:val="20"/>
                <w:lang w:val="en-CA"/>
              </w:rPr>
              <w:t>-</w:t>
            </w:r>
            <w:r w:rsidR="00FA0439" w:rsidRPr="004D4C57">
              <w:rPr>
                <w:color w:val="000000" w:themeColor="text1"/>
                <w:sz w:val="20"/>
                <w:lang w:val="en-CA"/>
              </w:rPr>
              <w:t>.07</w:t>
            </w:r>
          </w:p>
        </w:tc>
        <w:tc>
          <w:tcPr>
            <w:tcW w:w="0" w:type="auto"/>
            <w:tcBorders>
              <w:top w:val="nil"/>
              <w:left w:val="nil"/>
              <w:right w:val="nil"/>
            </w:tcBorders>
            <w:shd w:val="clear" w:color="auto" w:fill="FFFFFF"/>
            <w:tcMar>
              <w:top w:w="72" w:type="dxa"/>
              <w:left w:w="144" w:type="dxa"/>
              <w:bottom w:w="72" w:type="dxa"/>
              <w:right w:w="144" w:type="dxa"/>
            </w:tcMar>
          </w:tcPr>
          <w:p w14:paraId="79D34F47" w14:textId="6C4C4007" w:rsidR="00FA0439" w:rsidRPr="004D4C57" w:rsidRDefault="00FA0439" w:rsidP="008116BE">
            <w:pPr>
              <w:rPr>
                <w:color w:val="000000" w:themeColor="text1"/>
                <w:sz w:val="20"/>
                <w:lang w:val="en-CA"/>
              </w:rPr>
            </w:pPr>
            <w:r w:rsidRPr="004D4C57">
              <w:rPr>
                <w:color w:val="000000" w:themeColor="text1"/>
                <w:sz w:val="20"/>
                <w:lang w:val="en-CA"/>
              </w:rPr>
              <w:t>(.05</w:t>
            </w:r>
            <w:r w:rsidR="00512989" w:rsidRPr="004D4C57">
              <w:rPr>
                <w:color w:val="000000" w:themeColor="text1"/>
                <w:sz w:val="20"/>
                <w:lang w:val="en-CA"/>
              </w:rPr>
              <w:t>7</w:t>
            </w:r>
            <w:r w:rsidRPr="004D4C57">
              <w:rPr>
                <w:color w:val="000000" w:themeColor="text1"/>
                <w:sz w:val="20"/>
                <w:lang w:val="en-CA"/>
              </w:rPr>
              <w:t>)</w:t>
            </w:r>
          </w:p>
        </w:tc>
      </w:tr>
      <w:tr w:rsidR="004D4C57" w:rsidRPr="004D4C57" w14:paraId="466F0C69" w14:textId="77777777" w:rsidTr="006E2CB1">
        <w:trPr>
          <w:trHeight w:val="283"/>
        </w:trPr>
        <w:tc>
          <w:tcPr>
            <w:tcW w:w="0" w:type="auto"/>
            <w:tcBorders>
              <w:left w:val="nil"/>
              <w:bottom w:val="single" w:sz="4" w:space="0" w:color="auto"/>
              <w:right w:val="nil"/>
            </w:tcBorders>
            <w:shd w:val="clear" w:color="auto" w:fill="FFFFFF"/>
            <w:tcMar>
              <w:top w:w="72" w:type="dxa"/>
              <w:left w:w="144" w:type="dxa"/>
              <w:bottom w:w="72" w:type="dxa"/>
              <w:right w:w="144" w:type="dxa"/>
            </w:tcMar>
          </w:tcPr>
          <w:p w14:paraId="46E8720A" w14:textId="4C90C1F7" w:rsidR="005D2879" w:rsidRPr="004D4C57" w:rsidRDefault="005D2879" w:rsidP="008116BE">
            <w:pPr>
              <w:rPr>
                <w:color w:val="000000" w:themeColor="text1"/>
                <w:sz w:val="20"/>
              </w:rPr>
            </w:pPr>
            <w:r w:rsidRPr="004D4C57">
              <w:rPr>
                <w:color w:val="000000" w:themeColor="text1"/>
                <w:sz w:val="20"/>
              </w:rPr>
              <w:t xml:space="preserve">  </w:t>
            </w:r>
            <w:r w:rsidRPr="004D4C57">
              <w:rPr>
                <w:i/>
                <w:iCs/>
                <w:color w:val="000000" w:themeColor="text1"/>
                <w:sz w:val="20"/>
              </w:rPr>
              <w:t>R</w:t>
            </w:r>
            <w:r w:rsidRPr="004D4C57">
              <w:rPr>
                <w:color w:val="000000" w:themeColor="text1"/>
                <w:sz w:val="20"/>
                <w:vertAlign w:val="superscript"/>
              </w:rPr>
              <w:t>2</w:t>
            </w:r>
          </w:p>
        </w:tc>
        <w:tc>
          <w:tcPr>
            <w:tcW w:w="0" w:type="auto"/>
            <w:tcBorders>
              <w:left w:val="nil"/>
              <w:bottom w:val="single" w:sz="4" w:space="0" w:color="auto"/>
              <w:right w:val="nil"/>
            </w:tcBorders>
            <w:shd w:val="clear" w:color="auto" w:fill="FFFFFF"/>
            <w:tcMar>
              <w:top w:w="72" w:type="dxa"/>
              <w:left w:w="144" w:type="dxa"/>
              <w:bottom w:w="72" w:type="dxa"/>
              <w:right w:w="144" w:type="dxa"/>
            </w:tcMar>
          </w:tcPr>
          <w:p w14:paraId="5E6BD1B5" w14:textId="77777777" w:rsidR="005D2879" w:rsidRPr="004D4C57" w:rsidRDefault="005D2879" w:rsidP="008116BE">
            <w:pPr>
              <w:rPr>
                <w:color w:val="000000" w:themeColor="text1"/>
                <w:sz w:val="20"/>
                <w:lang w:val="en-CA"/>
              </w:rPr>
            </w:pPr>
          </w:p>
        </w:tc>
        <w:tc>
          <w:tcPr>
            <w:tcW w:w="0" w:type="auto"/>
            <w:gridSpan w:val="2"/>
            <w:tcBorders>
              <w:left w:val="nil"/>
              <w:bottom w:val="single" w:sz="4" w:space="0" w:color="auto"/>
              <w:right w:val="nil"/>
            </w:tcBorders>
            <w:shd w:val="clear" w:color="auto" w:fill="FFFFFF"/>
            <w:tcMar>
              <w:top w:w="72" w:type="dxa"/>
              <w:left w:w="144" w:type="dxa"/>
              <w:bottom w:w="72" w:type="dxa"/>
              <w:right w:w="144" w:type="dxa"/>
            </w:tcMar>
          </w:tcPr>
          <w:p w14:paraId="144AF31B" w14:textId="37AF666B" w:rsidR="005D2879" w:rsidRPr="004D4C57" w:rsidRDefault="006642A2" w:rsidP="005D2879">
            <w:pPr>
              <w:jc w:val="center"/>
              <w:rPr>
                <w:color w:val="000000" w:themeColor="text1"/>
                <w:sz w:val="20"/>
                <w:lang w:val="en-CA"/>
              </w:rPr>
            </w:pPr>
            <w:r w:rsidRPr="004D4C57">
              <w:rPr>
                <w:color w:val="000000" w:themeColor="text1"/>
                <w:sz w:val="20"/>
                <w:lang w:val="en-CA"/>
              </w:rPr>
              <w:t>.28</w:t>
            </w:r>
          </w:p>
        </w:tc>
        <w:tc>
          <w:tcPr>
            <w:tcW w:w="0" w:type="auto"/>
            <w:tcBorders>
              <w:left w:val="nil"/>
              <w:bottom w:val="single" w:sz="4" w:space="0" w:color="auto"/>
              <w:right w:val="nil"/>
            </w:tcBorders>
            <w:shd w:val="clear" w:color="auto" w:fill="FFFFFF"/>
            <w:tcMar>
              <w:top w:w="72" w:type="dxa"/>
              <w:left w:w="144" w:type="dxa"/>
              <w:bottom w:w="72" w:type="dxa"/>
              <w:right w:w="144" w:type="dxa"/>
            </w:tcMar>
          </w:tcPr>
          <w:p w14:paraId="1A5D1B7E" w14:textId="77777777" w:rsidR="005D2879" w:rsidRPr="004D4C57" w:rsidRDefault="005D2879" w:rsidP="008116BE">
            <w:pPr>
              <w:rPr>
                <w:color w:val="000000" w:themeColor="text1"/>
                <w:sz w:val="20"/>
                <w:lang w:val="en-CA"/>
              </w:rPr>
            </w:pPr>
          </w:p>
        </w:tc>
        <w:tc>
          <w:tcPr>
            <w:tcW w:w="0" w:type="auto"/>
            <w:gridSpan w:val="2"/>
            <w:tcBorders>
              <w:left w:val="nil"/>
              <w:bottom w:val="single" w:sz="4" w:space="0" w:color="auto"/>
              <w:right w:val="nil"/>
            </w:tcBorders>
            <w:shd w:val="clear" w:color="auto" w:fill="FFFFFF"/>
            <w:tcMar>
              <w:top w:w="72" w:type="dxa"/>
              <w:left w:w="144" w:type="dxa"/>
              <w:bottom w:w="72" w:type="dxa"/>
              <w:right w:w="144" w:type="dxa"/>
            </w:tcMar>
          </w:tcPr>
          <w:p w14:paraId="3BD07040" w14:textId="47978197" w:rsidR="005D2879" w:rsidRPr="004D4C57" w:rsidRDefault="006642A2" w:rsidP="005D2879">
            <w:pPr>
              <w:jc w:val="center"/>
              <w:rPr>
                <w:color w:val="000000" w:themeColor="text1"/>
                <w:sz w:val="20"/>
                <w:lang w:val="en-CA"/>
              </w:rPr>
            </w:pPr>
            <w:r w:rsidRPr="004D4C57">
              <w:rPr>
                <w:color w:val="000000" w:themeColor="text1"/>
                <w:sz w:val="20"/>
                <w:lang w:val="en-CA"/>
              </w:rPr>
              <w:t>.58</w:t>
            </w:r>
          </w:p>
        </w:tc>
      </w:tr>
      <w:tr w:rsidR="004D4C57" w:rsidRPr="004D4C57" w14:paraId="2DD54ABC" w14:textId="77777777" w:rsidTr="00FA0439">
        <w:trPr>
          <w:trHeight w:val="283"/>
        </w:trPr>
        <w:tc>
          <w:tcPr>
            <w:tcW w:w="0" w:type="auto"/>
            <w:gridSpan w:val="7"/>
            <w:tcBorders>
              <w:top w:val="single" w:sz="4" w:space="0" w:color="auto"/>
              <w:left w:val="nil"/>
              <w:bottom w:val="nil"/>
              <w:right w:val="nil"/>
            </w:tcBorders>
            <w:shd w:val="clear" w:color="auto" w:fill="FFFFFF"/>
            <w:tcMar>
              <w:top w:w="72" w:type="dxa"/>
              <w:left w:w="144" w:type="dxa"/>
              <w:bottom w:w="72" w:type="dxa"/>
              <w:right w:w="144" w:type="dxa"/>
            </w:tcMar>
          </w:tcPr>
          <w:p w14:paraId="09917F82" w14:textId="395B1F5F" w:rsidR="00FA0439" w:rsidRPr="004D4C57" w:rsidRDefault="00FA0439" w:rsidP="008116BE">
            <w:pPr>
              <w:jc w:val="center"/>
              <w:rPr>
                <w:color w:val="000000" w:themeColor="text1"/>
                <w:kern w:val="24"/>
                <w:sz w:val="20"/>
              </w:rPr>
            </w:pPr>
            <w:r w:rsidRPr="004D4C57">
              <w:rPr>
                <w:color w:val="000000" w:themeColor="text1"/>
                <w:kern w:val="24"/>
                <w:sz w:val="20"/>
              </w:rPr>
              <w:t>Model 3</w:t>
            </w:r>
          </w:p>
        </w:tc>
      </w:tr>
      <w:tr w:rsidR="004D4C57" w:rsidRPr="004D4C57" w14:paraId="0BA3C31C" w14:textId="77777777" w:rsidTr="008116BE">
        <w:trPr>
          <w:trHeight w:val="283"/>
        </w:trPr>
        <w:tc>
          <w:tcPr>
            <w:tcW w:w="0" w:type="auto"/>
            <w:tcBorders>
              <w:left w:val="nil"/>
              <w:bottom w:val="nil"/>
              <w:right w:val="nil"/>
            </w:tcBorders>
            <w:shd w:val="clear" w:color="auto" w:fill="FFFFFF"/>
            <w:tcMar>
              <w:top w:w="72" w:type="dxa"/>
              <w:left w:w="144" w:type="dxa"/>
              <w:bottom w:w="72" w:type="dxa"/>
              <w:right w:w="144" w:type="dxa"/>
            </w:tcMar>
          </w:tcPr>
          <w:p w14:paraId="39DA036D" w14:textId="77777777" w:rsidR="00FA0439" w:rsidRPr="004D4C57" w:rsidRDefault="00FA0439" w:rsidP="008116BE">
            <w:pPr>
              <w:rPr>
                <w:color w:val="000000" w:themeColor="text1"/>
                <w:sz w:val="20"/>
              </w:rPr>
            </w:pPr>
            <w:r w:rsidRPr="004D4C57">
              <w:rPr>
                <w:color w:val="000000" w:themeColor="text1"/>
                <w:sz w:val="20"/>
              </w:rPr>
              <w:t xml:space="preserve">Baseline </w:t>
            </w:r>
          </w:p>
        </w:tc>
        <w:tc>
          <w:tcPr>
            <w:tcW w:w="0" w:type="auto"/>
            <w:tcBorders>
              <w:left w:val="nil"/>
              <w:bottom w:val="nil"/>
              <w:right w:val="nil"/>
            </w:tcBorders>
            <w:shd w:val="clear" w:color="auto" w:fill="FFFFFF"/>
            <w:tcMar>
              <w:top w:w="72" w:type="dxa"/>
              <w:left w:w="144" w:type="dxa"/>
              <w:bottom w:w="72" w:type="dxa"/>
              <w:right w:w="144" w:type="dxa"/>
            </w:tcMar>
          </w:tcPr>
          <w:p w14:paraId="1FBD6B8C" w14:textId="77777777" w:rsidR="00FA0439" w:rsidRPr="004D4C57" w:rsidRDefault="00FA0439" w:rsidP="008116BE">
            <w:pPr>
              <w:rPr>
                <w:color w:val="000000" w:themeColor="text1"/>
                <w:sz w:val="20"/>
                <w:lang w:val="en-CA"/>
              </w:rPr>
            </w:pPr>
          </w:p>
        </w:tc>
        <w:tc>
          <w:tcPr>
            <w:tcW w:w="0" w:type="auto"/>
            <w:tcBorders>
              <w:left w:val="nil"/>
              <w:bottom w:val="nil"/>
              <w:right w:val="nil"/>
            </w:tcBorders>
            <w:shd w:val="clear" w:color="auto" w:fill="FFFFFF"/>
            <w:tcMar>
              <w:top w:w="72" w:type="dxa"/>
              <w:left w:w="144" w:type="dxa"/>
              <w:bottom w:w="72" w:type="dxa"/>
              <w:right w:w="144" w:type="dxa"/>
            </w:tcMar>
          </w:tcPr>
          <w:p w14:paraId="40D3AB62" w14:textId="77777777" w:rsidR="00FA0439" w:rsidRPr="004D4C57" w:rsidRDefault="00FA0439" w:rsidP="008116BE">
            <w:pPr>
              <w:rPr>
                <w:color w:val="000000" w:themeColor="text1"/>
                <w:sz w:val="20"/>
              </w:rPr>
            </w:pPr>
            <w:r w:rsidRPr="004D4C57">
              <w:rPr>
                <w:color w:val="000000" w:themeColor="text1"/>
                <w:sz w:val="20"/>
              </w:rPr>
              <w:t>.42</w:t>
            </w:r>
            <w:r w:rsidRPr="004D4C57">
              <w:rPr>
                <w:color w:val="000000" w:themeColor="text1"/>
                <w:sz w:val="20"/>
                <w:vertAlign w:val="superscript"/>
              </w:rPr>
              <w:t>**</w:t>
            </w:r>
          </w:p>
        </w:tc>
        <w:tc>
          <w:tcPr>
            <w:tcW w:w="0" w:type="auto"/>
            <w:tcBorders>
              <w:left w:val="nil"/>
              <w:bottom w:val="nil"/>
              <w:right w:val="nil"/>
            </w:tcBorders>
            <w:shd w:val="clear" w:color="auto" w:fill="FFFFFF"/>
            <w:tcMar>
              <w:top w:w="72" w:type="dxa"/>
              <w:left w:w="144" w:type="dxa"/>
              <w:bottom w:w="72" w:type="dxa"/>
              <w:right w:w="144" w:type="dxa"/>
            </w:tcMar>
          </w:tcPr>
          <w:p w14:paraId="13629A0F" w14:textId="77777777" w:rsidR="00FA0439" w:rsidRPr="004D4C57" w:rsidRDefault="00FA0439" w:rsidP="008116BE">
            <w:pPr>
              <w:rPr>
                <w:color w:val="000000" w:themeColor="text1"/>
                <w:sz w:val="20"/>
              </w:rPr>
            </w:pPr>
            <w:r w:rsidRPr="004D4C57">
              <w:rPr>
                <w:color w:val="000000" w:themeColor="text1"/>
                <w:sz w:val="20"/>
              </w:rPr>
              <w:t>(.040)</w:t>
            </w:r>
          </w:p>
        </w:tc>
        <w:tc>
          <w:tcPr>
            <w:tcW w:w="0" w:type="auto"/>
            <w:tcBorders>
              <w:left w:val="nil"/>
              <w:bottom w:val="nil"/>
              <w:right w:val="nil"/>
            </w:tcBorders>
            <w:shd w:val="clear" w:color="auto" w:fill="FFFFFF"/>
            <w:tcMar>
              <w:top w:w="72" w:type="dxa"/>
              <w:left w:w="144" w:type="dxa"/>
              <w:bottom w:w="72" w:type="dxa"/>
              <w:right w:w="144" w:type="dxa"/>
            </w:tcMar>
          </w:tcPr>
          <w:p w14:paraId="48BCE18E" w14:textId="77777777" w:rsidR="00FA0439" w:rsidRPr="004D4C57" w:rsidRDefault="00FA0439" w:rsidP="008116BE">
            <w:pPr>
              <w:rPr>
                <w:color w:val="000000" w:themeColor="text1"/>
                <w:sz w:val="20"/>
                <w:lang w:val="en-CA"/>
              </w:rPr>
            </w:pPr>
          </w:p>
        </w:tc>
        <w:tc>
          <w:tcPr>
            <w:tcW w:w="0" w:type="auto"/>
            <w:tcBorders>
              <w:left w:val="nil"/>
              <w:bottom w:val="nil"/>
              <w:right w:val="nil"/>
            </w:tcBorders>
            <w:shd w:val="clear" w:color="auto" w:fill="FFFFFF"/>
            <w:tcMar>
              <w:top w:w="72" w:type="dxa"/>
              <w:left w:w="144" w:type="dxa"/>
              <w:bottom w:w="72" w:type="dxa"/>
              <w:right w:w="144" w:type="dxa"/>
            </w:tcMar>
          </w:tcPr>
          <w:p w14:paraId="1125CF98" w14:textId="77777777" w:rsidR="00FA0439" w:rsidRPr="004D4C57" w:rsidRDefault="00FA0439" w:rsidP="008116BE">
            <w:pPr>
              <w:rPr>
                <w:color w:val="000000" w:themeColor="text1"/>
                <w:sz w:val="20"/>
              </w:rPr>
            </w:pPr>
            <w:r w:rsidRPr="004D4C57">
              <w:rPr>
                <w:color w:val="000000" w:themeColor="text1"/>
                <w:sz w:val="20"/>
              </w:rPr>
              <w:t>.77</w:t>
            </w:r>
            <w:r w:rsidRPr="004D4C57">
              <w:rPr>
                <w:color w:val="000000" w:themeColor="text1"/>
                <w:sz w:val="20"/>
                <w:vertAlign w:val="superscript"/>
              </w:rPr>
              <w:t>**</w:t>
            </w:r>
          </w:p>
        </w:tc>
        <w:tc>
          <w:tcPr>
            <w:tcW w:w="0" w:type="auto"/>
            <w:tcBorders>
              <w:left w:val="nil"/>
              <w:bottom w:val="nil"/>
              <w:right w:val="nil"/>
            </w:tcBorders>
            <w:shd w:val="clear" w:color="auto" w:fill="FFFFFF"/>
            <w:tcMar>
              <w:top w:w="72" w:type="dxa"/>
              <w:left w:w="144" w:type="dxa"/>
              <w:bottom w:w="72" w:type="dxa"/>
              <w:right w:w="144" w:type="dxa"/>
            </w:tcMar>
          </w:tcPr>
          <w:p w14:paraId="7299A6E0" w14:textId="77777777" w:rsidR="00FA0439" w:rsidRPr="004D4C57" w:rsidRDefault="00FA0439" w:rsidP="008116BE">
            <w:pPr>
              <w:rPr>
                <w:color w:val="000000" w:themeColor="text1"/>
                <w:sz w:val="20"/>
              </w:rPr>
            </w:pPr>
            <w:r w:rsidRPr="004D4C57">
              <w:rPr>
                <w:color w:val="000000" w:themeColor="text1"/>
                <w:sz w:val="20"/>
              </w:rPr>
              <w:t>(.031)</w:t>
            </w:r>
          </w:p>
        </w:tc>
      </w:tr>
      <w:tr w:rsidR="004D4C57" w:rsidRPr="004D4C57" w14:paraId="2AAEC8B5"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2480B3A9" w14:textId="5CE6ABC1" w:rsidR="00FA0439" w:rsidRPr="004D4C57" w:rsidRDefault="00A85F69" w:rsidP="008116BE">
            <w:pPr>
              <w:rPr>
                <w:color w:val="000000" w:themeColor="text1"/>
                <w:sz w:val="20"/>
                <w:lang w:val="en-CA"/>
              </w:rPr>
            </w:pPr>
            <w:r w:rsidRPr="004D4C57">
              <w:rPr>
                <w:color w:val="000000" w:themeColor="text1"/>
                <w:sz w:val="20"/>
              </w:rPr>
              <w:t>Retirement</w:t>
            </w:r>
            <w:r w:rsidR="00FA0439" w:rsidRPr="004D4C57">
              <w:rPr>
                <w:color w:val="000000" w:themeColor="text1"/>
                <w:sz w:val="20"/>
              </w:rPr>
              <w:t xml:space="preserve"> Status (</w:t>
            </w:r>
            <w:r w:rsidRPr="004D4C57">
              <w:rPr>
                <w:color w:val="000000" w:themeColor="text1"/>
                <w:sz w:val="20"/>
              </w:rPr>
              <w:t>R</w:t>
            </w:r>
            <w:r w:rsidR="00FA0439" w:rsidRPr="004D4C57">
              <w:rPr>
                <w:color w:val="000000" w:themeColor="text1"/>
                <w:sz w:val="20"/>
              </w:rPr>
              <w:t>S)</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591F0296"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15B307D1" w14:textId="0687FA3A" w:rsidR="00FA0439" w:rsidRPr="004D4C57" w:rsidRDefault="0042204E" w:rsidP="008116BE">
            <w:pPr>
              <w:rPr>
                <w:color w:val="000000" w:themeColor="text1"/>
                <w:sz w:val="20"/>
                <w:lang w:val="en-CA"/>
              </w:rPr>
            </w:pPr>
            <w:r w:rsidRPr="004D4C57">
              <w:rPr>
                <w:color w:val="000000" w:themeColor="text1"/>
                <w:sz w:val="20"/>
              </w:rPr>
              <w:t>-</w:t>
            </w:r>
            <w:r w:rsidR="00FA0439" w:rsidRPr="004D4C57">
              <w:rPr>
                <w:color w:val="000000" w:themeColor="text1"/>
                <w:sz w:val="20"/>
              </w:rPr>
              <w:t>.05</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103F8FCE" w14:textId="77777777" w:rsidR="00FA0439" w:rsidRPr="004D4C57" w:rsidRDefault="00FA0439" w:rsidP="008116BE">
            <w:pPr>
              <w:rPr>
                <w:color w:val="000000" w:themeColor="text1"/>
                <w:sz w:val="20"/>
                <w:lang w:val="en-CA"/>
              </w:rPr>
            </w:pPr>
            <w:r w:rsidRPr="004D4C57">
              <w:rPr>
                <w:color w:val="000000" w:themeColor="text1"/>
                <w:sz w:val="20"/>
              </w:rPr>
              <w:t>(.071)</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717C921F"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52FEA99E" w14:textId="62668117" w:rsidR="00FA0439" w:rsidRPr="004D4C57" w:rsidRDefault="0050634E" w:rsidP="008116BE">
            <w:pPr>
              <w:rPr>
                <w:color w:val="000000" w:themeColor="text1"/>
                <w:sz w:val="20"/>
                <w:lang w:val="en-CA"/>
              </w:rPr>
            </w:pPr>
            <w:r w:rsidRPr="004D4C57">
              <w:rPr>
                <w:color w:val="000000" w:themeColor="text1"/>
                <w:sz w:val="20"/>
              </w:rPr>
              <w:t>-</w:t>
            </w:r>
            <w:r w:rsidR="00FA0439" w:rsidRPr="004D4C57">
              <w:rPr>
                <w:color w:val="000000" w:themeColor="text1"/>
                <w:sz w:val="20"/>
              </w:rPr>
              <w:t>.02</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0EBE0411" w14:textId="77777777" w:rsidR="00FA0439" w:rsidRPr="004D4C57" w:rsidRDefault="00FA0439" w:rsidP="008116BE">
            <w:pPr>
              <w:rPr>
                <w:color w:val="000000" w:themeColor="text1"/>
                <w:sz w:val="20"/>
                <w:lang w:val="en-CA"/>
              </w:rPr>
            </w:pPr>
            <w:r w:rsidRPr="004D4C57">
              <w:rPr>
                <w:color w:val="000000" w:themeColor="text1"/>
                <w:sz w:val="20"/>
              </w:rPr>
              <w:t>(.037)</w:t>
            </w:r>
          </w:p>
        </w:tc>
      </w:tr>
      <w:tr w:rsidR="004D4C57" w:rsidRPr="004D4C57" w14:paraId="4CF8096D"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0E569B01" w14:textId="77777777" w:rsidR="00FA0439" w:rsidRPr="004D4C57" w:rsidRDefault="00FA0439" w:rsidP="008116BE">
            <w:pPr>
              <w:rPr>
                <w:color w:val="000000" w:themeColor="text1"/>
                <w:sz w:val="20"/>
                <w:lang w:val="en-CA"/>
              </w:rPr>
            </w:pPr>
            <w:r w:rsidRPr="004D4C57">
              <w:rPr>
                <w:color w:val="000000" w:themeColor="text1"/>
                <w:sz w:val="20"/>
              </w:rPr>
              <w:t>Goal Disengagement (GD)</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7A2991B9"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27C85B52" w14:textId="77777777" w:rsidR="00FA0439" w:rsidRPr="004D4C57" w:rsidRDefault="00FA0439" w:rsidP="008116BE">
            <w:pPr>
              <w:rPr>
                <w:color w:val="000000" w:themeColor="text1"/>
                <w:sz w:val="20"/>
                <w:lang w:val="en-CA"/>
              </w:rPr>
            </w:pPr>
            <w:r w:rsidRPr="004D4C57">
              <w:rPr>
                <w:color w:val="000000" w:themeColor="text1"/>
                <w:sz w:val="20"/>
              </w:rPr>
              <w:t>-.09</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4C642F08" w14:textId="77777777" w:rsidR="00FA0439" w:rsidRPr="004D4C57" w:rsidRDefault="00FA0439" w:rsidP="008116BE">
            <w:pPr>
              <w:rPr>
                <w:color w:val="000000" w:themeColor="text1"/>
                <w:sz w:val="20"/>
                <w:lang w:val="en-CA"/>
              </w:rPr>
            </w:pPr>
            <w:r w:rsidRPr="004D4C57">
              <w:rPr>
                <w:color w:val="000000" w:themeColor="text1"/>
                <w:sz w:val="20"/>
              </w:rPr>
              <w:t>(.057)</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3A6D225E"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07CC4F89" w14:textId="77777777" w:rsidR="00FA0439" w:rsidRPr="004D4C57" w:rsidRDefault="00FA0439" w:rsidP="008116BE">
            <w:pPr>
              <w:rPr>
                <w:color w:val="000000" w:themeColor="text1"/>
                <w:sz w:val="20"/>
                <w:lang w:val="en-CA"/>
              </w:rPr>
            </w:pPr>
            <w:r w:rsidRPr="004D4C57">
              <w:rPr>
                <w:color w:val="000000" w:themeColor="text1"/>
                <w:sz w:val="20"/>
              </w:rPr>
              <w:t>-.01</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4413F703" w14:textId="77777777" w:rsidR="00FA0439" w:rsidRPr="004D4C57" w:rsidRDefault="00FA0439" w:rsidP="008116BE">
            <w:pPr>
              <w:rPr>
                <w:color w:val="000000" w:themeColor="text1"/>
                <w:sz w:val="20"/>
                <w:lang w:val="en-CA"/>
              </w:rPr>
            </w:pPr>
            <w:r w:rsidRPr="004D4C57">
              <w:rPr>
                <w:color w:val="000000" w:themeColor="text1"/>
                <w:sz w:val="20"/>
              </w:rPr>
              <w:t>(.030)</w:t>
            </w:r>
          </w:p>
        </w:tc>
      </w:tr>
      <w:tr w:rsidR="004D4C57" w:rsidRPr="004D4C57" w14:paraId="45386994"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628E848B" w14:textId="5218B6C3" w:rsidR="00FA0439" w:rsidRPr="004D4C57" w:rsidRDefault="00555E98" w:rsidP="008116BE">
            <w:pPr>
              <w:rPr>
                <w:color w:val="000000" w:themeColor="text1"/>
                <w:sz w:val="20"/>
                <w:lang w:val="en-CA"/>
              </w:rPr>
            </w:pPr>
            <w:r w:rsidRPr="004D4C57">
              <w:rPr>
                <w:color w:val="000000" w:themeColor="text1"/>
                <w:sz w:val="20"/>
              </w:rPr>
              <w:t>Gender (female)</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0B545D63"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3E8F4E78" w14:textId="77777777" w:rsidR="00FA0439" w:rsidRPr="004D4C57" w:rsidRDefault="00FA0439" w:rsidP="008116BE">
            <w:pPr>
              <w:rPr>
                <w:color w:val="000000" w:themeColor="text1"/>
                <w:sz w:val="20"/>
                <w:lang w:val="en-CA"/>
              </w:rPr>
            </w:pPr>
            <w:r w:rsidRPr="004D4C57">
              <w:rPr>
                <w:color w:val="000000" w:themeColor="text1"/>
                <w:sz w:val="20"/>
              </w:rPr>
              <w:t>.42</w:t>
            </w:r>
            <w:r w:rsidRPr="004D4C57">
              <w:rPr>
                <w:color w:val="000000" w:themeColor="text1"/>
                <w:sz w:val="20"/>
                <w:vertAlign w:val="superscript"/>
              </w:rPr>
              <w:t>**</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1AC23194" w14:textId="77777777" w:rsidR="00FA0439" w:rsidRPr="004D4C57" w:rsidRDefault="00FA0439" w:rsidP="008116BE">
            <w:pPr>
              <w:rPr>
                <w:color w:val="000000" w:themeColor="text1"/>
                <w:sz w:val="20"/>
                <w:lang w:val="en-CA"/>
              </w:rPr>
            </w:pPr>
            <w:r w:rsidRPr="004D4C57">
              <w:rPr>
                <w:color w:val="000000" w:themeColor="text1"/>
                <w:sz w:val="20"/>
              </w:rPr>
              <w:t>(.074)</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26F4C865"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17B88510" w14:textId="77777777" w:rsidR="00FA0439" w:rsidRPr="004D4C57" w:rsidRDefault="00FA0439" w:rsidP="008116BE">
            <w:pPr>
              <w:rPr>
                <w:color w:val="000000" w:themeColor="text1"/>
                <w:sz w:val="20"/>
                <w:lang w:val="en-CA"/>
              </w:rPr>
            </w:pPr>
            <w:r w:rsidRPr="004D4C57">
              <w:rPr>
                <w:color w:val="000000" w:themeColor="text1"/>
                <w:sz w:val="20"/>
              </w:rPr>
              <w:t>-.06</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1CD57D66" w14:textId="77777777" w:rsidR="00FA0439" w:rsidRPr="004D4C57" w:rsidRDefault="00FA0439" w:rsidP="008116BE">
            <w:pPr>
              <w:rPr>
                <w:color w:val="000000" w:themeColor="text1"/>
                <w:sz w:val="20"/>
                <w:lang w:val="en-CA"/>
              </w:rPr>
            </w:pPr>
            <w:r w:rsidRPr="004D4C57">
              <w:rPr>
                <w:color w:val="000000" w:themeColor="text1"/>
                <w:sz w:val="20"/>
              </w:rPr>
              <w:t>(.037)</w:t>
            </w:r>
          </w:p>
        </w:tc>
      </w:tr>
      <w:tr w:rsidR="004D4C57" w:rsidRPr="004D4C57" w14:paraId="01A4DD16"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20371D19" w14:textId="38AAF4D9" w:rsidR="00FA0439" w:rsidRPr="004D4C57" w:rsidRDefault="00A85F69" w:rsidP="008116BE">
            <w:pPr>
              <w:rPr>
                <w:color w:val="000000" w:themeColor="text1"/>
                <w:sz w:val="20"/>
                <w:lang w:val="en-CA"/>
              </w:rPr>
            </w:pPr>
            <w:r w:rsidRPr="004D4C57">
              <w:rPr>
                <w:color w:val="000000" w:themeColor="text1"/>
                <w:sz w:val="20"/>
              </w:rPr>
              <w:t>R</w:t>
            </w:r>
            <w:r w:rsidR="00FA0439" w:rsidRPr="004D4C57">
              <w:rPr>
                <w:color w:val="000000" w:themeColor="text1"/>
                <w:sz w:val="20"/>
              </w:rPr>
              <w:t>S x GD</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6F2658CD"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2D29B09A" w14:textId="299735E0" w:rsidR="00FA0439" w:rsidRPr="004D4C57" w:rsidRDefault="0042204E" w:rsidP="008116BE">
            <w:pPr>
              <w:rPr>
                <w:color w:val="000000" w:themeColor="text1"/>
                <w:sz w:val="20"/>
                <w:lang w:val="en-CA"/>
              </w:rPr>
            </w:pPr>
            <w:r w:rsidRPr="004D4C57">
              <w:rPr>
                <w:color w:val="000000" w:themeColor="text1"/>
                <w:sz w:val="20"/>
              </w:rPr>
              <w:t>-</w:t>
            </w:r>
            <w:r w:rsidR="00FA0439" w:rsidRPr="004D4C57">
              <w:rPr>
                <w:color w:val="000000" w:themeColor="text1"/>
                <w:sz w:val="20"/>
              </w:rPr>
              <w:t>.16</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3368DA30" w14:textId="2ECE03C8" w:rsidR="00FA0439" w:rsidRPr="004D4C57" w:rsidRDefault="00FA0439" w:rsidP="008116BE">
            <w:pPr>
              <w:rPr>
                <w:color w:val="000000" w:themeColor="text1"/>
                <w:sz w:val="20"/>
                <w:lang w:val="en-CA"/>
              </w:rPr>
            </w:pPr>
            <w:r w:rsidRPr="004D4C57">
              <w:rPr>
                <w:color w:val="000000" w:themeColor="text1"/>
                <w:sz w:val="20"/>
              </w:rPr>
              <w:t>(.11</w:t>
            </w:r>
            <w:r w:rsidR="0042204E" w:rsidRPr="004D4C57">
              <w:rPr>
                <w:color w:val="000000" w:themeColor="text1"/>
                <w:sz w:val="20"/>
              </w:rPr>
              <w:t>4</w:t>
            </w:r>
            <w:r w:rsidRPr="004D4C57">
              <w:rPr>
                <w:color w:val="000000" w:themeColor="text1"/>
                <w:sz w:val="20"/>
              </w:rPr>
              <w:t>)</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58873FE6"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57AB39F0" w14:textId="11733603" w:rsidR="00FA0439" w:rsidRPr="004D4C57" w:rsidRDefault="0050634E" w:rsidP="008116BE">
            <w:pPr>
              <w:rPr>
                <w:color w:val="000000" w:themeColor="text1"/>
                <w:sz w:val="20"/>
                <w:lang w:val="en-CA"/>
              </w:rPr>
            </w:pPr>
            <w:r w:rsidRPr="004D4C57">
              <w:rPr>
                <w:color w:val="000000" w:themeColor="text1"/>
                <w:sz w:val="20"/>
              </w:rPr>
              <w:t>-</w:t>
            </w:r>
            <w:r w:rsidR="00FA0439" w:rsidRPr="004D4C57">
              <w:rPr>
                <w:color w:val="000000" w:themeColor="text1"/>
                <w:sz w:val="20"/>
              </w:rPr>
              <w:t>.07</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5EDA8ECB" w14:textId="77777777" w:rsidR="00FA0439" w:rsidRPr="004D4C57" w:rsidRDefault="00FA0439" w:rsidP="008116BE">
            <w:pPr>
              <w:rPr>
                <w:color w:val="000000" w:themeColor="text1"/>
                <w:sz w:val="20"/>
                <w:lang w:val="en-CA"/>
              </w:rPr>
            </w:pPr>
            <w:r w:rsidRPr="004D4C57">
              <w:rPr>
                <w:color w:val="000000" w:themeColor="text1"/>
                <w:sz w:val="20"/>
              </w:rPr>
              <w:t>(.059)</w:t>
            </w:r>
          </w:p>
        </w:tc>
      </w:tr>
      <w:tr w:rsidR="004D4C57" w:rsidRPr="004D4C57" w14:paraId="45EC06EA"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2CC25894" w14:textId="772FAF70" w:rsidR="00FA0439" w:rsidRPr="004D4C57" w:rsidRDefault="00A85F69" w:rsidP="008116BE">
            <w:pPr>
              <w:rPr>
                <w:color w:val="000000" w:themeColor="text1"/>
                <w:sz w:val="20"/>
                <w:lang w:val="en-CA"/>
              </w:rPr>
            </w:pPr>
            <w:r w:rsidRPr="004D4C57">
              <w:rPr>
                <w:color w:val="000000" w:themeColor="text1"/>
                <w:sz w:val="20"/>
              </w:rPr>
              <w:t>R</w:t>
            </w:r>
            <w:r w:rsidR="00FA0439" w:rsidRPr="004D4C57">
              <w:rPr>
                <w:color w:val="000000" w:themeColor="text1"/>
                <w:sz w:val="20"/>
              </w:rPr>
              <w:t xml:space="preserve">S x </w:t>
            </w:r>
            <w:r w:rsidR="00555E98" w:rsidRPr="004D4C57">
              <w:rPr>
                <w:color w:val="000000" w:themeColor="text1"/>
                <w:sz w:val="20"/>
              </w:rPr>
              <w:t>Gender</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204EFDA7"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1165AF6F" w14:textId="65926B2E" w:rsidR="00FA0439" w:rsidRPr="004D4C57" w:rsidRDefault="0042204E" w:rsidP="008116BE">
            <w:pPr>
              <w:rPr>
                <w:color w:val="000000" w:themeColor="text1"/>
                <w:sz w:val="20"/>
                <w:lang w:val="en-CA"/>
              </w:rPr>
            </w:pPr>
            <w:r w:rsidRPr="004D4C57">
              <w:rPr>
                <w:color w:val="000000" w:themeColor="text1"/>
                <w:sz w:val="20"/>
              </w:rPr>
              <w:t>-</w:t>
            </w:r>
            <w:r w:rsidR="00FA0439" w:rsidRPr="004D4C57">
              <w:rPr>
                <w:color w:val="000000" w:themeColor="text1"/>
                <w:sz w:val="20"/>
              </w:rPr>
              <w:t>.24</w:t>
            </w:r>
            <w:r w:rsidR="00512989" w:rsidRPr="004D4C57">
              <w:rPr>
                <w:color w:val="000000" w:themeColor="text1"/>
                <w:sz w:val="20"/>
                <w:vertAlign w:val="superscript"/>
                <w:lang w:val="en-CA"/>
              </w:rPr>
              <w:t>†</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0507FEE8" w14:textId="77777777" w:rsidR="00FA0439" w:rsidRPr="004D4C57" w:rsidRDefault="00FA0439" w:rsidP="008116BE">
            <w:pPr>
              <w:rPr>
                <w:color w:val="000000" w:themeColor="text1"/>
                <w:sz w:val="20"/>
                <w:lang w:val="en-CA"/>
              </w:rPr>
            </w:pPr>
            <w:r w:rsidRPr="004D4C57">
              <w:rPr>
                <w:color w:val="000000" w:themeColor="text1"/>
                <w:sz w:val="20"/>
              </w:rPr>
              <w:t>(.142)</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1ECACBFF"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6500B493" w14:textId="0BEBBEBA" w:rsidR="00FA0439" w:rsidRPr="004D4C57" w:rsidRDefault="0050634E" w:rsidP="008116BE">
            <w:pPr>
              <w:rPr>
                <w:color w:val="000000" w:themeColor="text1"/>
                <w:sz w:val="20"/>
                <w:lang w:val="en-CA"/>
              </w:rPr>
            </w:pPr>
            <w:r w:rsidRPr="004D4C57">
              <w:rPr>
                <w:color w:val="000000" w:themeColor="text1"/>
                <w:sz w:val="20"/>
              </w:rPr>
              <w:t>-</w:t>
            </w:r>
            <w:r w:rsidR="00FA0439" w:rsidRPr="004D4C57">
              <w:rPr>
                <w:color w:val="000000" w:themeColor="text1"/>
                <w:sz w:val="20"/>
              </w:rPr>
              <w:t>.03</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671C5B6B" w14:textId="77777777" w:rsidR="00FA0439" w:rsidRPr="004D4C57" w:rsidRDefault="00FA0439" w:rsidP="008116BE">
            <w:pPr>
              <w:rPr>
                <w:color w:val="000000" w:themeColor="text1"/>
                <w:sz w:val="20"/>
                <w:lang w:val="en-CA"/>
              </w:rPr>
            </w:pPr>
            <w:r w:rsidRPr="004D4C57">
              <w:rPr>
                <w:color w:val="000000" w:themeColor="text1"/>
                <w:sz w:val="20"/>
              </w:rPr>
              <w:t>(.074)</w:t>
            </w:r>
          </w:p>
        </w:tc>
      </w:tr>
      <w:tr w:rsidR="004D4C57" w:rsidRPr="004D4C57" w14:paraId="05791B0B" w14:textId="77777777" w:rsidTr="008116BE">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0AD22032" w14:textId="2D0291EC" w:rsidR="00FA0439" w:rsidRPr="004D4C57" w:rsidRDefault="00FA0439" w:rsidP="008116BE">
            <w:pPr>
              <w:rPr>
                <w:color w:val="000000" w:themeColor="text1"/>
                <w:sz w:val="20"/>
                <w:lang w:val="en-CA"/>
              </w:rPr>
            </w:pPr>
            <w:r w:rsidRPr="004D4C57">
              <w:rPr>
                <w:color w:val="000000" w:themeColor="text1"/>
                <w:sz w:val="20"/>
              </w:rPr>
              <w:t xml:space="preserve">GD x </w:t>
            </w:r>
            <w:r w:rsidR="00555E98" w:rsidRPr="004D4C57">
              <w:rPr>
                <w:color w:val="000000" w:themeColor="text1"/>
                <w:sz w:val="20"/>
              </w:rPr>
              <w:t>Gender</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19C2F3B6"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670C592B" w14:textId="77777777" w:rsidR="00FA0439" w:rsidRPr="004D4C57" w:rsidRDefault="00FA0439" w:rsidP="008116BE">
            <w:pPr>
              <w:rPr>
                <w:color w:val="000000" w:themeColor="text1"/>
                <w:sz w:val="20"/>
                <w:lang w:val="en-CA"/>
              </w:rPr>
            </w:pPr>
            <w:r w:rsidRPr="004D4C57">
              <w:rPr>
                <w:color w:val="000000" w:themeColor="text1"/>
                <w:sz w:val="20"/>
              </w:rPr>
              <w:t>-.03</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5FC5AE78" w14:textId="77777777" w:rsidR="00FA0439" w:rsidRPr="004D4C57" w:rsidRDefault="00FA0439" w:rsidP="008116BE">
            <w:pPr>
              <w:rPr>
                <w:color w:val="000000" w:themeColor="text1"/>
                <w:sz w:val="20"/>
                <w:lang w:val="en-CA"/>
              </w:rPr>
            </w:pPr>
            <w:r w:rsidRPr="004D4C57">
              <w:rPr>
                <w:color w:val="000000" w:themeColor="text1"/>
                <w:sz w:val="20"/>
              </w:rPr>
              <w:t>(.114)</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3DC3285B"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02F00115" w14:textId="77777777" w:rsidR="00FA0439" w:rsidRPr="004D4C57" w:rsidRDefault="00FA0439" w:rsidP="008116BE">
            <w:pPr>
              <w:rPr>
                <w:color w:val="000000" w:themeColor="text1"/>
                <w:sz w:val="20"/>
                <w:lang w:val="en-CA"/>
              </w:rPr>
            </w:pPr>
            <w:r w:rsidRPr="004D4C57">
              <w:rPr>
                <w:color w:val="000000" w:themeColor="text1"/>
                <w:sz w:val="20"/>
              </w:rPr>
              <w:t>-.01</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4C6623D2" w14:textId="77777777" w:rsidR="00FA0439" w:rsidRPr="004D4C57" w:rsidRDefault="00FA0439" w:rsidP="008116BE">
            <w:pPr>
              <w:rPr>
                <w:color w:val="000000" w:themeColor="text1"/>
                <w:sz w:val="20"/>
                <w:lang w:val="en-CA"/>
              </w:rPr>
            </w:pPr>
            <w:r w:rsidRPr="004D4C57">
              <w:rPr>
                <w:color w:val="000000" w:themeColor="text1"/>
                <w:sz w:val="20"/>
              </w:rPr>
              <w:t>(.059)</w:t>
            </w:r>
          </w:p>
        </w:tc>
      </w:tr>
      <w:tr w:rsidR="004D4C57" w:rsidRPr="004D4C57" w14:paraId="1E5CFB12" w14:textId="77777777" w:rsidTr="00922469">
        <w:trPr>
          <w:trHeight w:val="283"/>
        </w:trPr>
        <w:tc>
          <w:tcPr>
            <w:tcW w:w="0" w:type="auto"/>
            <w:tcBorders>
              <w:top w:val="nil"/>
              <w:left w:val="nil"/>
              <w:bottom w:val="nil"/>
              <w:right w:val="nil"/>
            </w:tcBorders>
            <w:shd w:val="clear" w:color="auto" w:fill="FFFFFF"/>
            <w:tcMar>
              <w:top w:w="72" w:type="dxa"/>
              <w:left w:w="144" w:type="dxa"/>
              <w:bottom w:w="72" w:type="dxa"/>
              <w:right w:w="144" w:type="dxa"/>
            </w:tcMar>
            <w:hideMark/>
          </w:tcPr>
          <w:p w14:paraId="120F20C2" w14:textId="38CA3D5E" w:rsidR="00FA0439" w:rsidRPr="004D4C57" w:rsidRDefault="00A85F69" w:rsidP="008116BE">
            <w:pPr>
              <w:rPr>
                <w:color w:val="000000" w:themeColor="text1"/>
                <w:sz w:val="20"/>
                <w:lang w:val="en-CA"/>
              </w:rPr>
            </w:pPr>
            <w:r w:rsidRPr="004D4C57">
              <w:rPr>
                <w:color w:val="000000" w:themeColor="text1"/>
                <w:sz w:val="20"/>
              </w:rPr>
              <w:t>R</w:t>
            </w:r>
            <w:r w:rsidR="00FA0439" w:rsidRPr="004D4C57">
              <w:rPr>
                <w:color w:val="000000" w:themeColor="text1"/>
                <w:sz w:val="20"/>
              </w:rPr>
              <w:t xml:space="preserve">S x GD x </w:t>
            </w:r>
            <w:r w:rsidR="00555E98" w:rsidRPr="004D4C57">
              <w:rPr>
                <w:color w:val="000000" w:themeColor="text1"/>
                <w:sz w:val="20"/>
              </w:rPr>
              <w:t>Gender</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3C1E4914"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70E66179" w14:textId="25CBAC40" w:rsidR="00FA0439" w:rsidRPr="004D4C57" w:rsidRDefault="0050634E" w:rsidP="008116BE">
            <w:pPr>
              <w:rPr>
                <w:color w:val="000000" w:themeColor="text1"/>
                <w:sz w:val="20"/>
                <w:lang w:val="en-CA"/>
              </w:rPr>
            </w:pPr>
            <w:r w:rsidRPr="004D4C57">
              <w:rPr>
                <w:color w:val="000000" w:themeColor="text1"/>
                <w:sz w:val="20"/>
              </w:rPr>
              <w:t>-</w:t>
            </w:r>
            <w:r w:rsidR="00FA0439" w:rsidRPr="004D4C57">
              <w:rPr>
                <w:color w:val="000000" w:themeColor="text1"/>
                <w:sz w:val="20"/>
              </w:rPr>
              <w:t>.48</w:t>
            </w:r>
            <w:r w:rsidR="00FA0439" w:rsidRPr="004D4C57">
              <w:rPr>
                <w:color w:val="000000" w:themeColor="text1"/>
                <w:sz w:val="20"/>
                <w:vertAlign w:val="superscript"/>
              </w:rPr>
              <w:t>*</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51365DA9" w14:textId="77777777" w:rsidR="00FA0439" w:rsidRPr="004D4C57" w:rsidRDefault="00FA0439" w:rsidP="008116BE">
            <w:pPr>
              <w:rPr>
                <w:color w:val="000000" w:themeColor="text1"/>
                <w:sz w:val="20"/>
                <w:lang w:val="en-CA"/>
              </w:rPr>
            </w:pPr>
            <w:r w:rsidRPr="004D4C57">
              <w:rPr>
                <w:color w:val="000000" w:themeColor="text1"/>
                <w:sz w:val="20"/>
              </w:rPr>
              <w:t>(.229)</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2DB3FC3B" w14:textId="77777777" w:rsidR="00FA0439" w:rsidRPr="004D4C57" w:rsidRDefault="00FA0439" w:rsidP="008116BE">
            <w:pPr>
              <w:rPr>
                <w:color w:val="000000" w:themeColor="text1"/>
                <w:sz w:val="20"/>
                <w:lang w:val="en-CA"/>
              </w:rPr>
            </w:pP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6CE0231F" w14:textId="6E008A6F" w:rsidR="00FA0439" w:rsidRPr="004D4C57" w:rsidRDefault="0050634E" w:rsidP="008116BE">
            <w:pPr>
              <w:rPr>
                <w:color w:val="000000" w:themeColor="text1"/>
                <w:sz w:val="20"/>
                <w:lang w:val="en-CA"/>
              </w:rPr>
            </w:pPr>
            <w:r w:rsidRPr="004D4C57">
              <w:rPr>
                <w:color w:val="000000" w:themeColor="text1"/>
                <w:sz w:val="20"/>
              </w:rPr>
              <w:t>-</w:t>
            </w:r>
            <w:r w:rsidR="00FA0439" w:rsidRPr="004D4C57">
              <w:rPr>
                <w:color w:val="000000" w:themeColor="text1"/>
                <w:sz w:val="20"/>
              </w:rPr>
              <w:t>.18</w:t>
            </w:r>
          </w:p>
        </w:tc>
        <w:tc>
          <w:tcPr>
            <w:tcW w:w="0" w:type="auto"/>
            <w:tcBorders>
              <w:top w:val="nil"/>
              <w:left w:val="nil"/>
              <w:bottom w:val="nil"/>
              <w:right w:val="nil"/>
            </w:tcBorders>
            <w:shd w:val="clear" w:color="auto" w:fill="FFFFFF"/>
            <w:tcMar>
              <w:top w:w="72" w:type="dxa"/>
              <w:left w:w="144" w:type="dxa"/>
              <w:bottom w:w="72" w:type="dxa"/>
              <w:right w:w="144" w:type="dxa"/>
            </w:tcMar>
            <w:hideMark/>
          </w:tcPr>
          <w:p w14:paraId="6DB0453C" w14:textId="77777777" w:rsidR="00FA0439" w:rsidRPr="004D4C57" w:rsidRDefault="00FA0439" w:rsidP="008116BE">
            <w:pPr>
              <w:rPr>
                <w:color w:val="000000" w:themeColor="text1"/>
                <w:sz w:val="20"/>
                <w:lang w:val="en-CA"/>
              </w:rPr>
            </w:pPr>
            <w:r w:rsidRPr="004D4C57">
              <w:rPr>
                <w:color w:val="000000" w:themeColor="text1"/>
                <w:sz w:val="20"/>
              </w:rPr>
              <w:t>(.118)</w:t>
            </w:r>
          </w:p>
        </w:tc>
      </w:tr>
      <w:tr w:rsidR="004D4C57" w:rsidRPr="004D4C57" w14:paraId="28ED8A48" w14:textId="77777777" w:rsidTr="001F3E85">
        <w:trPr>
          <w:trHeight w:val="283"/>
        </w:trPr>
        <w:tc>
          <w:tcPr>
            <w:tcW w:w="0" w:type="auto"/>
            <w:tcBorders>
              <w:top w:val="nil"/>
              <w:left w:val="nil"/>
              <w:bottom w:val="single" w:sz="8" w:space="0" w:color="000000"/>
              <w:right w:val="nil"/>
            </w:tcBorders>
            <w:shd w:val="clear" w:color="auto" w:fill="FFFFFF"/>
            <w:tcMar>
              <w:top w:w="72" w:type="dxa"/>
              <w:left w:w="144" w:type="dxa"/>
              <w:bottom w:w="72" w:type="dxa"/>
              <w:right w:w="144" w:type="dxa"/>
            </w:tcMar>
          </w:tcPr>
          <w:p w14:paraId="6A9FE03B" w14:textId="24E8F483" w:rsidR="00D600CC" w:rsidRPr="004D4C57" w:rsidRDefault="00D600CC" w:rsidP="008116BE">
            <w:pPr>
              <w:rPr>
                <w:color w:val="000000" w:themeColor="text1"/>
                <w:sz w:val="20"/>
              </w:rPr>
            </w:pPr>
            <w:r w:rsidRPr="004D4C57">
              <w:rPr>
                <w:color w:val="000000" w:themeColor="text1"/>
                <w:sz w:val="20"/>
              </w:rPr>
              <w:t xml:space="preserve">  </w:t>
            </w:r>
            <w:r w:rsidRPr="004D4C57">
              <w:rPr>
                <w:i/>
                <w:iCs/>
                <w:color w:val="000000" w:themeColor="text1"/>
                <w:sz w:val="20"/>
              </w:rPr>
              <w:t>R</w:t>
            </w:r>
            <w:r w:rsidRPr="004D4C57">
              <w:rPr>
                <w:color w:val="000000" w:themeColor="text1"/>
                <w:sz w:val="20"/>
                <w:vertAlign w:val="superscript"/>
              </w:rPr>
              <w:t>2</w:t>
            </w:r>
          </w:p>
        </w:tc>
        <w:tc>
          <w:tcPr>
            <w:tcW w:w="0" w:type="auto"/>
            <w:tcBorders>
              <w:top w:val="nil"/>
              <w:left w:val="nil"/>
              <w:bottom w:val="single" w:sz="8" w:space="0" w:color="000000"/>
              <w:right w:val="nil"/>
            </w:tcBorders>
            <w:shd w:val="clear" w:color="auto" w:fill="FFFFFF"/>
            <w:tcMar>
              <w:top w:w="72" w:type="dxa"/>
              <w:left w:w="144" w:type="dxa"/>
              <w:bottom w:w="72" w:type="dxa"/>
              <w:right w:w="144" w:type="dxa"/>
            </w:tcMar>
          </w:tcPr>
          <w:p w14:paraId="126A29A1" w14:textId="77777777" w:rsidR="00D600CC" w:rsidRPr="004D4C57" w:rsidRDefault="00D600CC" w:rsidP="008116BE">
            <w:pPr>
              <w:rPr>
                <w:color w:val="000000" w:themeColor="text1"/>
                <w:sz w:val="20"/>
                <w:lang w:val="en-CA"/>
              </w:rPr>
            </w:pPr>
          </w:p>
        </w:tc>
        <w:tc>
          <w:tcPr>
            <w:tcW w:w="0" w:type="auto"/>
            <w:gridSpan w:val="2"/>
            <w:tcBorders>
              <w:top w:val="nil"/>
              <w:left w:val="nil"/>
              <w:bottom w:val="single" w:sz="8" w:space="0" w:color="000000"/>
              <w:right w:val="nil"/>
            </w:tcBorders>
            <w:shd w:val="clear" w:color="auto" w:fill="FFFFFF"/>
            <w:tcMar>
              <w:top w:w="72" w:type="dxa"/>
              <w:left w:w="144" w:type="dxa"/>
              <w:bottom w:w="72" w:type="dxa"/>
              <w:right w:w="144" w:type="dxa"/>
            </w:tcMar>
          </w:tcPr>
          <w:p w14:paraId="5A7B394D" w14:textId="288680BD" w:rsidR="00D600CC" w:rsidRPr="004D4C57" w:rsidRDefault="00D600CC" w:rsidP="00D600CC">
            <w:pPr>
              <w:jc w:val="center"/>
              <w:rPr>
                <w:color w:val="000000" w:themeColor="text1"/>
                <w:sz w:val="20"/>
              </w:rPr>
            </w:pPr>
            <w:r w:rsidRPr="004D4C57">
              <w:rPr>
                <w:color w:val="000000" w:themeColor="text1"/>
                <w:sz w:val="20"/>
              </w:rPr>
              <w:t>.29</w:t>
            </w:r>
          </w:p>
        </w:tc>
        <w:tc>
          <w:tcPr>
            <w:tcW w:w="0" w:type="auto"/>
            <w:tcBorders>
              <w:top w:val="nil"/>
              <w:left w:val="nil"/>
              <w:bottom w:val="single" w:sz="8" w:space="0" w:color="000000"/>
              <w:right w:val="nil"/>
            </w:tcBorders>
            <w:shd w:val="clear" w:color="auto" w:fill="FFFFFF"/>
            <w:tcMar>
              <w:top w:w="72" w:type="dxa"/>
              <w:left w:w="144" w:type="dxa"/>
              <w:bottom w:w="72" w:type="dxa"/>
              <w:right w:w="144" w:type="dxa"/>
            </w:tcMar>
          </w:tcPr>
          <w:p w14:paraId="445213DE" w14:textId="77777777" w:rsidR="00D600CC" w:rsidRPr="004D4C57" w:rsidRDefault="00D600CC" w:rsidP="008116BE">
            <w:pPr>
              <w:rPr>
                <w:color w:val="000000" w:themeColor="text1"/>
                <w:sz w:val="20"/>
                <w:lang w:val="en-CA"/>
              </w:rPr>
            </w:pPr>
          </w:p>
        </w:tc>
        <w:tc>
          <w:tcPr>
            <w:tcW w:w="0" w:type="auto"/>
            <w:gridSpan w:val="2"/>
            <w:tcBorders>
              <w:top w:val="nil"/>
              <w:left w:val="nil"/>
              <w:bottom w:val="single" w:sz="8" w:space="0" w:color="000000"/>
              <w:right w:val="nil"/>
            </w:tcBorders>
            <w:shd w:val="clear" w:color="auto" w:fill="FFFFFF"/>
            <w:tcMar>
              <w:top w:w="72" w:type="dxa"/>
              <w:left w:w="144" w:type="dxa"/>
              <w:bottom w:w="72" w:type="dxa"/>
              <w:right w:w="144" w:type="dxa"/>
            </w:tcMar>
          </w:tcPr>
          <w:p w14:paraId="3BA44B67" w14:textId="67990562" w:rsidR="00D600CC" w:rsidRPr="004D4C57" w:rsidRDefault="00FB147F" w:rsidP="00D600CC">
            <w:pPr>
              <w:jc w:val="center"/>
              <w:rPr>
                <w:color w:val="000000" w:themeColor="text1"/>
                <w:sz w:val="20"/>
              </w:rPr>
            </w:pPr>
            <w:r w:rsidRPr="004D4C57">
              <w:rPr>
                <w:color w:val="000000" w:themeColor="text1"/>
                <w:sz w:val="20"/>
              </w:rPr>
              <w:t>.59</w:t>
            </w:r>
          </w:p>
        </w:tc>
      </w:tr>
    </w:tbl>
    <w:p w14:paraId="53095E96" w14:textId="5AC81807" w:rsidR="00453B45" w:rsidRPr="004D4C57" w:rsidRDefault="00453B45">
      <w:pPr>
        <w:rPr>
          <w:color w:val="000000" w:themeColor="text1"/>
        </w:rPr>
      </w:pPr>
    </w:p>
    <w:p w14:paraId="494EA4E7" w14:textId="6E717229" w:rsidR="00207336" w:rsidRPr="004D4C57" w:rsidRDefault="00802EC0" w:rsidP="006B01FE">
      <w:pPr>
        <w:spacing w:line="480" w:lineRule="auto"/>
        <w:rPr>
          <w:color w:val="000000" w:themeColor="text1"/>
          <w:sz w:val="20"/>
        </w:rPr>
      </w:pPr>
      <w:r w:rsidRPr="004D4C57">
        <w:rPr>
          <w:i/>
          <w:color w:val="000000" w:themeColor="text1"/>
          <w:sz w:val="20"/>
        </w:rPr>
        <w:lastRenderedPageBreak/>
        <w:t xml:space="preserve">Note. </w:t>
      </w:r>
      <w:r w:rsidR="008021F2" w:rsidRPr="004D4C57">
        <w:rPr>
          <w:color w:val="000000" w:themeColor="text1"/>
          <w:sz w:val="20"/>
        </w:rPr>
        <w:t>Retirement status</w:t>
      </w:r>
      <w:r w:rsidR="00E83427" w:rsidRPr="004D4C57">
        <w:rPr>
          <w:color w:val="000000" w:themeColor="text1"/>
          <w:sz w:val="20"/>
        </w:rPr>
        <w:t xml:space="preserve"> </w:t>
      </w:r>
      <w:r w:rsidR="004952D8" w:rsidRPr="004D4C57">
        <w:rPr>
          <w:color w:val="000000" w:themeColor="text1"/>
          <w:sz w:val="20"/>
        </w:rPr>
        <w:t>(</w:t>
      </w:r>
      <w:r w:rsidRPr="004D4C57">
        <w:rPr>
          <w:color w:val="000000" w:themeColor="text1"/>
          <w:sz w:val="20"/>
        </w:rPr>
        <w:t>0 =</w:t>
      </w:r>
      <w:r w:rsidR="00B56B39" w:rsidRPr="004D4C57">
        <w:rPr>
          <w:color w:val="000000" w:themeColor="text1"/>
          <w:sz w:val="20"/>
        </w:rPr>
        <w:t xml:space="preserve"> </w:t>
      </w:r>
      <w:r w:rsidR="00B56B39" w:rsidRPr="004D4C57">
        <w:rPr>
          <w:i/>
          <w:color w:val="000000" w:themeColor="text1"/>
          <w:sz w:val="20"/>
        </w:rPr>
        <w:t>working at MIDUS 2 and 3</w:t>
      </w:r>
      <w:r w:rsidRPr="004D4C57">
        <w:rPr>
          <w:color w:val="000000" w:themeColor="text1"/>
          <w:sz w:val="20"/>
        </w:rPr>
        <w:t xml:space="preserve">, 1 = </w:t>
      </w:r>
      <w:r w:rsidR="00B56B39" w:rsidRPr="004D4C57">
        <w:rPr>
          <w:i/>
          <w:color w:val="000000" w:themeColor="text1"/>
          <w:sz w:val="20"/>
        </w:rPr>
        <w:t>working at MIDUS 2 and retired at MIDUS 3</w:t>
      </w:r>
      <w:r w:rsidR="004952D8" w:rsidRPr="004D4C57">
        <w:rPr>
          <w:color w:val="000000" w:themeColor="text1"/>
          <w:sz w:val="20"/>
        </w:rPr>
        <w:t>).</w:t>
      </w:r>
      <w:r w:rsidR="00FA0439" w:rsidRPr="004D4C57">
        <w:rPr>
          <w:color w:val="000000" w:themeColor="text1"/>
          <w:sz w:val="20"/>
        </w:rPr>
        <w:t xml:space="preserve"> </w:t>
      </w:r>
      <w:r w:rsidR="00922469" w:rsidRPr="004D4C57">
        <w:rPr>
          <w:color w:val="000000" w:themeColor="text1"/>
          <w:sz w:val="20"/>
        </w:rPr>
        <w:t xml:space="preserve">Unstandardized beta estimates are presented. </w:t>
      </w:r>
      <w:r w:rsidR="00FB147F" w:rsidRPr="004D4C57">
        <w:rPr>
          <w:color w:val="000000" w:themeColor="text1"/>
          <w:sz w:val="20"/>
        </w:rPr>
        <w:t xml:space="preserve">Episodic memory </w:t>
      </w:r>
      <w:r w:rsidR="00FB147F" w:rsidRPr="004D4C57">
        <w:rPr>
          <w:i/>
          <w:iCs/>
          <w:color w:val="000000" w:themeColor="text1"/>
          <w:sz w:val="20"/>
        </w:rPr>
        <w:t>n</w:t>
      </w:r>
      <w:r w:rsidR="00FB147F" w:rsidRPr="004D4C57">
        <w:rPr>
          <w:color w:val="000000" w:themeColor="text1"/>
          <w:sz w:val="20"/>
        </w:rPr>
        <w:t xml:space="preserve"> = 513. Executive functioning </w:t>
      </w:r>
      <w:r w:rsidR="00FB147F" w:rsidRPr="004D4C57">
        <w:rPr>
          <w:i/>
          <w:iCs/>
          <w:color w:val="000000" w:themeColor="text1"/>
          <w:sz w:val="20"/>
        </w:rPr>
        <w:t>n</w:t>
      </w:r>
      <w:r w:rsidR="00FB147F" w:rsidRPr="004D4C57">
        <w:rPr>
          <w:color w:val="000000" w:themeColor="text1"/>
          <w:sz w:val="20"/>
        </w:rPr>
        <w:t xml:space="preserve"> = 473. </w:t>
      </w:r>
      <w:r w:rsidR="00FA0439" w:rsidRPr="004D4C57">
        <w:rPr>
          <w:color w:val="000000" w:themeColor="text1"/>
          <w:sz w:val="20"/>
        </w:rPr>
        <w:t xml:space="preserve">Predictor variables were mean centered to facilitate interpretation (Hayes, 2013). </w:t>
      </w:r>
    </w:p>
    <w:p w14:paraId="2B0B43B5" w14:textId="40435E7E" w:rsidR="00541CA6" w:rsidRPr="004D4C57" w:rsidRDefault="00555E98" w:rsidP="0029464D">
      <w:pPr>
        <w:spacing w:line="480" w:lineRule="auto"/>
        <w:ind w:left="1440" w:hanging="1440"/>
        <w:rPr>
          <w:color w:val="000000" w:themeColor="text1"/>
        </w:rPr>
      </w:pPr>
      <w:r w:rsidRPr="004D4C57">
        <w:rPr>
          <w:color w:val="000000" w:themeColor="text1"/>
          <w:sz w:val="20"/>
          <w:vertAlign w:val="superscript"/>
        </w:rPr>
        <w:t>†</w:t>
      </w:r>
      <w:r w:rsidRPr="004D4C57">
        <w:rPr>
          <w:i/>
          <w:color w:val="000000" w:themeColor="text1"/>
          <w:sz w:val="20"/>
        </w:rPr>
        <w:t>p</w:t>
      </w:r>
      <w:r w:rsidRPr="004D4C57">
        <w:rPr>
          <w:color w:val="000000" w:themeColor="text1"/>
          <w:sz w:val="20"/>
        </w:rPr>
        <w:t xml:space="preserve"> </w:t>
      </w:r>
      <w:r w:rsidR="00183D9C" w:rsidRPr="004D4C57">
        <w:rPr>
          <w:color w:val="000000" w:themeColor="text1"/>
          <w:sz w:val="20"/>
        </w:rPr>
        <w:t xml:space="preserve">&lt; </w:t>
      </w:r>
      <w:r w:rsidRPr="004D4C57">
        <w:rPr>
          <w:color w:val="000000" w:themeColor="text1"/>
          <w:sz w:val="20"/>
        </w:rPr>
        <w:t xml:space="preserve">.10, </w:t>
      </w:r>
      <w:r w:rsidR="004B5120" w:rsidRPr="004D4C57">
        <w:rPr>
          <w:color w:val="000000" w:themeColor="text1"/>
          <w:sz w:val="20"/>
          <w:vertAlign w:val="superscript"/>
        </w:rPr>
        <w:t>*</w:t>
      </w:r>
      <w:r w:rsidR="004B5120" w:rsidRPr="004D4C57">
        <w:rPr>
          <w:i/>
          <w:color w:val="000000" w:themeColor="text1"/>
          <w:sz w:val="20"/>
        </w:rPr>
        <w:t>p</w:t>
      </w:r>
      <w:r w:rsidR="004B5120" w:rsidRPr="004D4C57">
        <w:rPr>
          <w:color w:val="000000" w:themeColor="text1"/>
          <w:sz w:val="20"/>
        </w:rPr>
        <w:t xml:space="preserve"> </w:t>
      </w:r>
      <w:r w:rsidR="00183D9C" w:rsidRPr="004D4C57">
        <w:rPr>
          <w:color w:val="000000" w:themeColor="text1"/>
          <w:sz w:val="20"/>
        </w:rPr>
        <w:t xml:space="preserve">&lt; </w:t>
      </w:r>
      <w:r w:rsidR="004B5120" w:rsidRPr="004D4C57">
        <w:rPr>
          <w:color w:val="000000" w:themeColor="text1"/>
          <w:sz w:val="20"/>
        </w:rPr>
        <w:t xml:space="preserve">.05, </w:t>
      </w:r>
      <w:r w:rsidR="004B5120" w:rsidRPr="004D4C57">
        <w:rPr>
          <w:color w:val="000000" w:themeColor="text1"/>
          <w:sz w:val="20"/>
          <w:vertAlign w:val="superscript"/>
        </w:rPr>
        <w:t>**</w:t>
      </w:r>
      <w:r w:rsidR="004B5120" w:rsidRPr="004D4C57">
        <w:rPr>
          <w:i/>
          <w:color w:val="000000" w:themeColor="text1"/>
          <w:sz w:val="20"/>
        </w:rPr>
        <w:t>p</w:t>
      </w:r>
      <w:r w:rsidR="004B5120" w:rsidRPr="004D4C57">
        <w:rPr>
          <w:color w:val="000000" w:themeColor="text1"/>
          <w:sz w:val="20"/>
        </w:rPr>
        <w:t xml:space="preserve"> </w:t>
      </w:r>
      <w:r w:rsidR="00183D9C" w:rsidRPr="004D4C57">
        <w:rPr>
          <w:color w:val="000000" w:themeColor="text1"/>
          <w:sz w:val="20"/>
        </w:rPr>
        <w:t xml:space="preserve">&lt; </w:t>
      </w:r>
      <w:r w:rsidR="004B5120" w:rsidRPr="004D4C57">
        <w:rPr>
          <w:color w:val="000000" w:themeColor="text1"/>
          <w:sz w:val="20"/>
        </w:rPr>
        <w:t>.01</w:t>
      </w:r>
    </w:p>
    <w:p w14:paraId="6F860F13" w14:textId="42329F04" w:rsidR="00802EC0" w:rsidRPr="004D4C57" w:rsidRDefault="00802EC0" w:rsidP="00503521">
      <w:pPr>
        <w:spacing w:line="480" w:lineRule="auto"/>
        <w:rPr>
          <w:color w:val="000000" w:themeColor="text1"/>
        </w:rPr>
        <w:sectPr w:rsidR="00802EC0" w:rsidRPr="004D4C57" w:rsidSect="00577B41">
          <w:pgSz w:w="12240" w:h="15840"/>
          <w:pgMar w:top="1440" w:right="1440" w:bottom="1440" w:left="1440" w:header="708" w:footer="708" w:gutter="0"/>
          <w:cols w:space="708"/>
          <w:docGrid w:linePitch="360"/>
        </w:sectPr>
      </w:pPr>
    </w:p>
    <w:p w14:paraId="493652D2" w14:textId="3D366E99" w:rsidR="00541CA6" w:rsidRPr="004D4C57" w:rsidRDefault="007F474D" w:rsidP="00AA47E8">
      <w:pPr>
        <w:spacing w:line="480" w:lineRule="auto"/>
        <w:rPr>
          <w:color w:val="000000" w:themeColor="text1"/>
        </w:rPr>
      </w:pPr>
      <w:r w:rsidRPr="004D4C57">
        <w:rPr>
          <w:noProof/>
          <w:color w:val="000000" w:themeColor="text1"/>
        </w:rPr>
        <w:lastRenderedPageBreak/>
        <w:drawing>
          <wp:inline distT="0" distB="0" distL="0" distR="0" wp14:anchorId="6C3DAB70" wp14:editId="7F35533D">
            <wp:extent cx="5943600" cy="4248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df"/>
                    <pic:cNvPicPr/>
                  </pic:nvPicPr>
                  <pic:blipFill>
                    <a:blip r:embed="rId15">
                      <a:extLst>
                        <a:ext uri="{28A0092B-C50C-407E-A947-70E740481C1C}">
                          <a14:useLocalDpi xmlns:a14="http://schemas.microsoft.com/office/drawing/2010/main" val="0"/>
                        </a:ext>
                      </a:extLst>
                    </a:blip>
                    <a:stretch>
                      <a:fillRect/>
                    </a:stretch>
                  </pic:blipFill>
                  <pic:spPr>
                    <a:xfrm>
                      <a:off x="0" y="0"/>
                      <a:ext cx="5943600" cy="4248150"/>
                    </a:xfrm>
                    <a:prstGeom prst="rect">
                      <a:avLst/>
                    </a:prstGeom>
                  </pic:spPr>
                </pic:pic>
              </a:graphicData>
            </a:graphic>
          </wp:inline>
        </w:drawing>
      </w:r>
    </w:p>
    <w:p w14:paraId="441420D9" w14:textId="77777777" w:rsidR="00541CA6" w:rsidRPr="004D4C57" w:rsidRDefault="00541CA6" w:rsidP="00541CA6">
      <w:pPr>
        <w:spacing w:line="480" w:lineRule="auto"/>
        <w:rPr>
          <w:color w:val="000000" w:themeColor="text1"/>
        </w:rPr>
      </w:pPr>
      <w:r w:rsidRPr="004D4C57">
        <w:rPr>
          <w:i/>
          <w:color w:val="000000" w:themeColor="text1"/>
        </w:rPr>
        <w:t>Figure 1</w:t>
      </w:r>
      <w:r w:rsidRPr="004D4C57">
        <w:rPr>
          <w:color w:val="000000" w:themeColor="text1"/>
        </w:rPr>
        <w:t>. Standardized mean differences on the matching variables before and after propensity score matching.</w:t>
      </w:r>
    </w:p>
    <w:p w14:paraId="533D0783" w14:textId="77777777" w:rsidR="00541CA6" w:rsidRPr="004D4C57" w:rsidRDefault="00541CA6" w:rsidP="00541CA6">
      <w:pPr>
        <w:rPr>
          <w:color w:val="000000" w:themeColor="text1"/>
        </w:rPr>
      </w:pPr>
    </w:p>
    <w:p w14:paraId="67560EE5" w14:textId="77777777" w:rsidR="00541CA6" w:rsidRPr="004D4C57" w:rsidRDefault="00541CA6" w:rsidP="00541CA6">
      <w:pPr>
        <w:rPr>
          <w:color w:val="000000" w:themeColor="text1"/>
        </w:rPr>
      </w:pPr>
      <w:r w:rsidRPr="004D4C57">
        <w:rPr>
          <w:color w:val="000000" w:themeColor="text1"/>
        </w:rPr>
        <w:br w:type="page"/>
      </w:r>
    </w:p>
    <w:p w14:paraId="532D0D33" w14:textId="0630A96D" w:rsidR="00541CA6" w:rsidRPr="004D4C57" w:rsidRDefault="00FF6250" w:rsidP="00541CA6">
      <w:pPr>
        <w:rPr>
          <w:color w:val="000000" w:themeColor="text1"/>
        </w:rPr>
      </w:pPr>
      <w:r w:rsidRPr="004D4C57">
        <w:rPr>
          <w:noProof/>
          <w:color w:val="000000" w:themeColor="text1"/>
        </w:rPr>
        <w:lastRenderedPageBreak/>
        <w:drawing>
          <wp:inline distT="0" distB="0" distL="0" distR="0" wp14:anchorId="7174A3C7" wp14:editId="422AFCCA">
            <wp:extent cx="5943600" cy="346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1.pdf"/>
                    <pic:cNvPicPr/>
                  </pic:nvPicPr>
                  <pic:blipFill>
                    <a:blip r:embed="rId16">
                      <a:extLst>
                        <a:ext uri="{28A0092B-C50C-407E-A947-70E740481C1C}">
                          <a14:useLocalDpi xmlns:a14="http://schemas.microsoft.com/office/drawing/2010/main" val="0"/>
                        </a:ext>
                      </a:extLst>
                    </a:blip>
                    <a:stretch>
                      <a:fillRect/>
                    </a:stretch>
                  </pic:blipFill>
                  <pic:spPr>
                    <a:xfrm>
                      <a:off x="0" y="0"/>
                      <a:ext cx="5943600" cy="3467100"/>
                    </a:xfrm>
                    <a:prstGeom prst="rect">
                      <a:avLst/>
                    </a:prstGeom>
                  </pic:spPr>
                </pic:pic>
              </a:graphicData>
            </a:graphic>
          </wp:inline>
        </w:drawing>
      </w:r>
    </w:p>
    <w:p w14:paraId="02603A98" w14:textId="77777777" w:rsidR="00541CA6" w:rsidRPr="004D4C57" w:rsidRDefault="00541CA6" w:rsidP="00541CA6">
      <w:pPr>
        <w:rPr>
          <w:color w:val="000000" w:themeColor="text1"/>
        </w:rPr>
      </w:pPr>
    </w:p>
    <w:p w14:paraId="04705B77" w14:textId="7046A6F6" w:rsidR="00EA0721" w:rsidRPr="004D4C57" w:rsidRDefault="00541CA6" w:rsidP="00111AF6">
      <w:pPr>
        <w:spacing w:line="480" w:lineRule="auto"/>
        <w:rPr>
          <w:color w:val="000000" w:themeColor="text1"/>
        </w:rPr>
      </w:pPr>
      <w:r w:rsidRPr="004D4C57">
        <w:rPr>
          <w:i/>
          <w:color w:val="000000" w:themeColor="text1"/>
        </w:rPr>
        <w:t xml:space="preserve">Figure </w:t>
      </w:r>
      <w:r w:rsidR="003E77A4" w:rsidRPr="004D4C57">
        <w:rPr>
          <w:i/>
          <w:color w:val="000000" w:themeColor="text1"/>
        </w:rPr>
        <w:t>2</w:t>
      </w:r>
      <w:r w:rsidRPr="004D4C57">
        <w:rPr>
          <w:color w:val="000000" w:themeColor="text1"/>
        </w:rPr>
        <w:t xml:space="preserve">. </w:t>
      </w:r>
      <w:r w:rsidR="006768F9" w:rsidRPr="004D4C57">
        <w:rPr>
          <w:color w:val="000000" w:themeColor="text1"/>
        </w:rPr>
        <w:t>Moderated d</w:t>
      </w:r>
      <w:r w:rsidRPr="004D4C57">
        <w:rPr>
          <w:color w:val="000000" w:themeColor="text1"/>
        </w:rPr>
        <w:t xml:space="preserve">ifferences in </w:t>
      </w:r>
      <w:r w:rsidR="009711A2" w:rsidRPr="004D4C57">
        <w:rPr>
          <w:color w:val="000000" w:themeColor="text1"/>
        </w:rPr>
        <w:t>nine</w:t>
      </w:r>
      <w:r w:rsidRPr="004D4C57">
        <w:rPr>
          <w:color w:val="000000" w:themeColor="text1"/>
        </w:rPr>
        <w:t>-year episodic memory for the matched samples of those who retired and their peers who remained employed.</w:t>
      </w:r>
      <w:r w:rsidR="00D74767" w:rsidRPr="004D4C57">
        <w:rPr>
          <w:color w:val="000000" w:themeColor="text1"/>
        </w:rPr>
        <w:t xml:space="preserve"> Simple </w:t>
      </w:r>
      <w:r w:rsidR="00835C2F" w:rsidRPr="004D4C57">
        <w:rPr>
          <w:color w:val="000000" w:themeColor="text1"/>
        </w:rPr>
        <w:t xml:space="preserve">slopes </w:t>
      </w:r>
      <w:r w:rsidR="00D74767" w:rsidRPr="004D4C57">
        <w:rPr>
          <w:color w:val="000000" w:themeColor="text1"/>
        </w:rPr>
        <w:t xml:space="preserve">of </w:t>
      </w:r>
      <w:r w:rsidR="00B56B39" w:rsidRPr="004D4C57">
        <w:rPr>
          <w:color w:val="000000" w:themeColor="text1"/>
        </w:rPr>
        <w:t>retirement</w:t>
      </w:r>
      <w:r w:rsidR="00D74767" w:rsidRPr="004D4C57">
        <w:rPr>
          <w:color w:val="000000" w:themeColor="text1"/>
        </w:rPr>
        <w:t xml:space="preserve"> status are presented for males and females at low (-1 SD) and high (+1 SD) levels of goal disengagement.</w:t>
      </w:r>
      <w:r w:rsidR="00C978E6" w:rsidRPr="004D4C57">
        <w:rPr>
          <w:color w:val="000000" w:themeColor="text1"/>
        </w:rPr>
        <w:t xml:space="preserve"> </w:t>
      </w:r>
      <w:r w:rsidR="002A0227" w:rsidRPr="004D4C57">
        <w:rPr>
          <w:color w:val="000000" w:themeColor="text1"/>
        </w:rPr>
        <w:t xml:space="preserve">Episodic memory scores represent predicted regression values for each combination of retirement status, goal disengagement, and gender. </w:t>
      </w:r>
      <w:r w:rsidR="00020C0D" w:rsidRPr="004D4C57">
        <w:rPr>
          <w:color w:val="000000" w:themeColor="text1"/>
        </w:rPr>
        <w:t>Analyses controlled for autoregressive effects</w:t>
      </w:r>
      <w:r w:rsidR="00835C2F" w:rsidRPr="004D4C57">
        <w:rPr>
          <w:color w:val="000000" w:themeColor="text1"/>
        </w:rPr>
        <w:t xml:space="preserve"> (baseline levels of episodic memory)</w:t>
      </w:r>
      <w:r w:rsidR="00020C0D" w:rsidRPr="004D4C57">
        <w:rPr>
          <w:color w:val="000000" w:themeColor="text1"/>
        </w:rPr>
        <w:t xml:space="preserve">. </w:t>
      </w:r>
      <w:r w:rsidR="00C978E6" w:rsidRPr="004D4C57">
        <w:rPr>
          <w:color w:val="000000" w:themeColor="text1"/>
        </w:rPr>
        <w:t xml:space="preserve">Error bars represent ± 1 </w:t>
      </w:r>
      <w:r w:rsidR="00C978E6" w:rsidRPr="004D4C57">
        <w:rPr>
          <w:i/>
          <w:iCs/>
          <w:color w:val="000000" w:themeColor="text1"/>
        </w:rPr>
        <w:t>SE</w:t>
      </w:r>
      <w:r w:rsidR="00C978E6" w:rsidRPr="004D4C57">
        <w:rPr>
          <w:color w:val="000000" w:themeColor="text1"/>
        </w:rPr>
        <w:t>.</w:t>
      </w:r>
    </w:p>
    <w:sectPr w:rsidR="00EA0721" w:rsidRPr="004D4C57" w:rsidSect="00541C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A7C1F" w14:textId="77777777" w:rsidR="00D87F8F" w:rsidRDefault="00D87F8F" w:rsidP="00F4137E">
      <w:r>
        <w:separator/>
      </w:r>
    </w:p>
  </w:endnote>
  <w:endnote w:type="continuationSeparator" w:id="0">
    <w:p w14:paraId="6DC2A4FD" w14:textId="77777777" w:rsidR="00D87F8F" w:rsidRDefault="00D87F8F" w:rsidP="00F4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B60D6" w14:textId="77777777" w:rsidR="00D87F8F" w:rsidRDefault="00D87F8F" w:rsidP="00F4137E">
      <w:r>
        <w:separator/>
      </w:r>
    </w:p>
  </w:footnote>
  <w:footnote w:type="continuationSeparator" w:id="0">
    <w:p w14:paraId="1D004341" w14:textId="77777777" w:rsidR="00D87F8F" w:rsidRDefault="00D87F8F" w:rsidP="00F4137E">
      <w:r>
        <w:continuationSeparator/>
      </w:r>
    </w:p>
  </w:footnote>
  <w:footnote w:id="1">
    <w:p w14:paraId="5EDC83CB" w14:textId="77777777" w:rsidR="00794E42" w:rsidRDefault="00794E42" w:rsidP="004326A2">
      <w:pPr>
        <w:pStyle w:val="FootnoteText"/>
      </w:pPr>
      <w:r>
        <w:rPr>
          <w:rStyle w:val="FootnoteReference"/>
        </w:rPr>
        <w:footnoteRef/>
      </w:r>
      <w:r>
        <w:t>S</w:t>
      </w:r>
      <w:r w:rsidRPr="001868EF">
        <w:t>ee the Online Supplemental Materials [OSM] for a discussion of more transient aspects of goal disengagement and the MTD</w:t>
      </w:r>
      <w:r>
        <w:t xml:space="preserve">. </w:t>
      </w:r>
    </w:p>
  </w:footnote>
  <w:footnote w:id="2">
    <w:p w14:paraId="14C2AB1D" w14:textId="77777777" w:rsidR="00645344" w:rsidRPr="00BA5B94" w:rsidRDefault="00645344" w:rsidP="00645344">
      <w:pPr>
        <w:pStyle w:val="FootnoteText"/>
        <w:rPr>
          <w:lang w:val="en-CA"/>
        </w:rPr>
      </w:pPr>
      <w:r w:rsidRPr="00AF10F4">
        <w:rPr>
          <w:rStyle w:val="FootnoteReference"/>
          <w:color w:val="FF0000"/>
        </w:rPr>
        <w:footnoteRef/>
      </w:r>
      <w:r w:rsidRPr="00AF10F4">
        <w:rPr>
          <w:color w:val="FF0000"/>
          <w:lang w:val="en-CA"/>
        </w:rPr>
        <w:t xml:space="preserve">Although men and women have different levels of episodic memory and executive functioning, the pattern concerning which gender is </w:t>
      </w:r>
      <w:r>
        <w:rPr>
          <w:color w:val="FF0000"/>
          <w:lang w:val="en-CA"/>
        </w:rPr>
        <w:t>dis</w:t>
      </w:r>
      <w:r w:rsidRPr="00AF10F4">
        <w:rPr>
          <w:color w:val="FF0000"/>
          <w:lang w:val="en-CA"/>
        </w:rPr>
        <w:t xml:space="preserve">advantaged differs </w:t>
      </w:r>
      <w:r>
        <w:rPr>
          <w:color w:val="FF0000"/>
          <w:lang w:val="en-CA"/>
        </w:rPr>
        <w:t>(</w:t>
      </w:r>
      <w:r w:rsidRPr="00AF10F4">
        <w:rPr>
          <w:color w:val="FF0000"/>
          <w:lang w:val="en-CA"/>
        </w:rPr>
        <w:t xml:space="preserve">Hughes et al., 2018). Similarly, </w:t>
      </w:r>
      <w:r>
        <w:rPr>
          <w:color w:val="FF0000"/>
          <w:lang w:val="en-CA"/>
        </w:rPr>
        <w:t xml:space="preserve">retired </w:t>
      </w:r>
      <w:r w:rsidRPr="00AF10F4">
        <w:rPr>
          <w:color w:val="FF0000"/>
          <w:lang w:val="en-CA"/>
        </w:rPr>
        <w:t xml:space="preserve">women </w:t>
      </w:r>
      <w:r>
        <w:rPr>
          <w:color w:val="FF0000"/>
          <w:lang w:val="en-CA"/>
        </w:rPr>
        <w:t>are</w:t>
      </w:r>
      <w:r w:rsidRPr="00AF10F4">
        <w:rPr>
          <w:color w:val="FF0000"/>
          <w:lang w:val="en-CA"/>
        </w:rPr>
        <w:t xml:space="preserve"> disadvantaged </w:t>
      </w:r>
      <w:r>
        <w:rPr>
          <w:color w:val="FF0000"/>
          <w:lang w:val="en-CA"/>
        </w:rPr>
        <w:t xml:space="preserve">on some factors that could protect against cognitive declines </w:t>
      </w:r>
      <w:r w:rsidRPr="00AF10F4">
        <w:rPr>
          <w:color w:val="FF0000"/>
          <w:lang w:val="en-CA"/>
        </w:rPr>
        <w:t xml:space="preserve">(e.g., fewer retirement goals, lower SES; Wang &amp; Shi, 2014), </w:t>
      </w:r>
      <w:r>
        <w:rPr>
          <w:color w:val="FF0000"/>
          <w:lang w:val="en-CA"/>
        </w:rPr>
        <w:t xml:space="preserve">but retired </w:t>
      </w:r>
      <w:r w:rsidRPr="00AF10F4">
        <w:rPr>
          <w:color w:val="FF0000"/>
          <w:lang w:val="en-CA"/>
        </w:rPr>
        <w:t xml:space="preserve">men </w:t>
      </w:r>
      <w:r>
        <w:rPr>
          <w:color w:val="FF0000"/>
          <w:lang w:val="en-CA"/>
        </w:rPr>
        <w:t>are</w:t>
      </w:r>
      <w:r w:rsidRPr="00AF10F4">
        <w:rPr>
          <w:color w:val="FF0000"/>
          <w:lang w:val="en-CA"/>
        </w:rPr>
        <w:t xml:space="preserve"> disadvantaged </w:t>
      </w:r>
      <w:r>
        <w:rPr>
          <w:color w:val="FF0000"/>
          <w:lang w:val="en-CA"/>
        </w:rPr>
        <w:t>on other factors</w:t>
      </w:r>
      <w:r w:rsidRPr="00AF10F4">
        <w:rPr>
          <w:color w:val="FF0000"/>
          <w:lang w:val="en-CA"/>
        </w:rPr>
        <w:t xml:space="preserve"> (e.g., fewer social activities; Kubicek et al., 2011).</w:t>
      </w:r>
      <w:r w:rsidRPr="00BA5B94">
        <w:rPr>
          <w:lang w:val="en-CA"/>
        </w:rPr>
        <w:t xml:space="preserve"> </w:t>
      </w:r>
    </w:p>
    <w:p w14:paraId="0B2B36DA" w14:textId="77777777" w:rsidR="00645344" w:rsidRDefault="00645344" w:rsidP="00645344">
      <w:pPr>
        <w:pStyle w:val="FootnoteText"/>
      </w:pPr>
      <w:r>
        <w:t xml:space="preserve"> </w:t>
      </w:r>
    </w:p>
  </w:footnote>
  <w:footnote w:id="3">
    <w:p w14:paraId="1B0CE829" w14:textId="16343887" w:rsidR="00794E42" w:rsidRPr="004429F6" w:rsidRDefault="00794E42">
      <w:pPr>
        <w:pStyle w:val="FootnoteText"/>
        <w:rPr>
          <w:color w:val="000000" w:themeColor="text1"/>
        </w:rPr>
      </w:pPr>
      <w:r w:rsidRPr="004429F6">
        <w:rPr>
          <w:rStyle w:val="FootnoteReference"/>
          <w:color w:val="000000" w:themeColor="text1"/>
        </w:rPr>
        <w:footnoteRef/>
      </w:r>
      <w:r w:rsidRPr="004429F6">
        <w:rPr>
          <w:color w:val="000000" w:themeColor="text1"/>
        </w:rPr>
        <w:t>Although the simple retirement slope on executive functioning was significant only for women high in goal disengagement, the absence of a significant interaction indicates the pattern of simple slopes did not significantly differ from one another (Hayes,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4827107"/>
      <w:docPartObj>
        <w:docPartGallery w:val="Page Numbers (Top of Page)"/>
        <w:docPartUnique/>
      </w:docPartObj>
    </w:sdtPr>
    <w:sdtEndPr>
      <w:rPr>
        <w:rStyle w:val="PageNumber"/>
      </w:rPr>
    </w:sdtEndPr>
    <w:sdtContent>
      <w:p w14:paraId="2EED4CBB" w14:textId="43B038F6" w:rsidR="00794E42" w:rsidRDefault="00794E42" w:rsidP="00DC0A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0A8DC4" w14:textId="77777777" w:rsidR="00794E42" w:rsidRDefault="00794E42" w:rsidP="002C4DF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6232475"/>
      <w:docPartObj>
        <w:docPartGallery w:val="Page Numbers (Top of Page)"/>
        <w:docPartUnique/>
      </w:docPartObj>
    </w:sdtPr>
    <w:sdtEndPr>
      <w:rPr>
        <w:rStyle w:val="PageNumber"/>
      </w:rPr>
    </w:sdtEndPr>
    <w:sdtContent>
      <w:p w14:paraId="6DF488C1" w14:textId="025A7E15" w:rsidR="00794E42" w:rsidRDefault="00794E42" w:rsidP="00DC0A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BA3998" w14:textId="0F1DB763" w:rsidR="00794E42" w:rsidRDefault="00794E42" w:rsidP="002C4DF9">
    <w:pPr>
      <w:pStyle w:val="Header"/>
      <w:ind w:right="360"/>
    </w:pPr>
    <w:r>
      <w:t>MODERATED RISK OF COGNITIVE DECLINES IN RETIREMENT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7860517"/>
      <w:docPartObj>
        <w:docPartGallery w:val="Page Numbers (Top of Page)"/>
        <w:docPartUnique/>
      </w:docPartObj>
    </w:sdtPr>
    <w:sdtEndPr>
      <w:rPr>
        <w:rStyle w:val="PageNumber"/>
      </w:rPr>
    </w:sdtEndPr>
    <w:sdtContent>
      <w:p w14:paraId="79F2BD18" w14:textId="1CD6B432" w:rsidR="00794E42" w:rsidRDefault="00794E42" w:rsidP="00DC0A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E3734E" w14:textId="703CCEE1" w:rsidR="00794E42" w:rsidRDefault="00794E42" w:rsidP="002C4DF9">
    <w:pPr>
      <w:pStyle w:val="Header"/>
      <w:ind w:right="360"/>
    </w:pPr>
    <w:r>
      <w:t>Running head: MODERATED RISK OF COGNITIVE DECLINES IN RETIREMENT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263C"/>
    <w:multiLevelType w:val="hybridMultilevel"/>
    <w:tmpl w:val="530C789C"/>
    <w:lvl w:ilvl="0" w:tplc="FF0883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403"/>
    <w:multiLevelType w:val="hybridMultilevel"/>
    <w:tmpl w:val="08701206"/>
    <w:lvl w:ilvl="0" w:tplc="9A02B4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D63C2"/>
    <w:multiLevelType w:val="hybridMultilevel"/>
    <w:tmpl w:val="C5864266"/>
    <w:lvl w:ilvl="0" w:tplc="C11AAE72">
      <w:start w:val="582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368DD"/>
    <w:multiLevelType w:val="hybridMultilevel"/>
    <w:tmpl w:val="55C03A48"/>
    <w:lvl w:ilvl="0" w:tplc="3AAE7A0A">
      <w:start w:val="1"/>
      <w:numFmt w:val="bullet"/>
      <w:lvlText w:val="-"/>
      <w:lvlJc w:val="left"/>
      <w:pPr>
        <w:tabs>
          <w:tab w:val="num" w:pos="720"/>
        </w:tabs>
        <w:ind w:left="720" w:hanging="360"/>
      </w:pPr>
      <w:rPr>
        <w:rFonts w:ascii="Times New Roman" w:hAnsi="Times New Roman" w:hint="default"/>
      </w:rPr>
    </w:lvl>
    <w:lvl w:ilvl="1" w:tplc="37703916">
      <w:start w:val="1"/>
      <w:numFmt w:val="bullet"/>
      <w:lvlText w:val="-"/>
      <w:lvlJc w:val="left"/>
      <w:pPr>
        <w:tabs>
          <w:tab w:val="num" w:pos="1440"/>
        </w:tabs>
        <w:ind w:left="1440" w:hanging="360"/>
      </w:pPr>
      <w:rPr>
        <w:rFonts w:ascii="Times New Roman" w:hAnsi="Times New Roman" w:hint="default"/>
      </w:rPr>
    </w:lvl>
    <w:lvl w:ilvl="2" w:tplc="84B0E842" w:tentative="1">
      <w:start w:val="1"/>
      <w:numFmt w:val="bullet"/>
      <w:lvlText w:val="-"/>
      <w:lvlJc w:val="left"/>
      <w:pPr>
        <w:tabs>
          <w:tab w:val="num" w:pos="2160"/>
        </w:tabs>
        <w:ind w:left="2160" w:hanging="360"/>
      </w:pPr>
      <w:rPr>
        <w:rFonts w:ascii="Times New Roman" w:hAnsi="Times New Roman" w:hint="default"/>
      </w:rPr>
    </w:lvl>
    <w:lvl w:ilvl="3" w:tplc="CE12491C" w:tentative="1">
      <w:start w:val="1"/>
      <w:numFmt w:val="bullet"/>
      <w:lvlText w:val="-"/>
      <w:lvlJc w:val="left"/>
      <w:pPr>
        <w:tabs>
          <w:tab w:val="num" w:pos="2880"/>
        </w:tabs>
        <w:ind w:left="2880" w:hanging="360"/>
      </w:pPr>
      <w:rPr>
        <w:rFonts w:ascii="Times New Roman" w:hAnsi="Times New Roman" w:hint="default"/>
      </w:rPr>
    </w:lvl>
    <w:lvl w:ilvl="4" w:tplc="0570E522" w:tentative="1">
      <w:start w:val="1"/>
      <w:numFmt w:val="bullet"/>
      <w:lvlText w:val="-"/>
      <w:lvlJc w:val="left"/>
      <w:pPr>
        <w:tabs>
          <w:tab w:val="num" w:pos="3600"/>
        </w:tabs>
        <w:ind w:left="3600" w:hanging="360"/>
      </w:pPr>
      <w:rPr>
        <w:rFonts w:ascii="Times New Roman" w:hAnsi="Times New Roman" w:hint="default"/>
      </w:rPr>
    </w:lvl>
    <w:lvl w:ilvl="5" w:tplc="CC7C30DA" w:tentative="1">
      <w:start w:val="1"/>
      <w:numFmt w:val="bullet"/>
      <w:lvlText w:val="-"/>
      <w:lvlJc w:val="left"/>
      <w:pPr>
        <w:tabs>
          <w:tab w:val="num" w:pos="4320"/>
        </w:tabs>
        <w:ind w:left="4320" w:hanging="360"/>
      </w:pPr>
      <w:rPr>
        <w:rFonts w:ascii="Times New Roman" w:hAnsi="Times New Roman" w:hint="default"/>
      </w:rPr>
    </w:lvl>
    <w:lvl w:ilvl="6" w:tplc="92FAF7C8" w:tentative="1">
      <w:start w:val="1"/>
      <w:numFmt w:val="bullet"/>
      <w:lvlText w:val="-"/>
      <w:lvlJc w:val="left"/>
      <w:pPr>
        <w:tabs>
          <w:tab w:val="num" w:pos="5040"/>
        </w:tabs>
        <w:ind w:left="5040" w:hanging="360"/>
      </w:pPr>
      <w:rPr>
        <w:rFonts w:ascii="Times New Roman" w:hAnsi="Times New Roman" w:hint="default"/>
      </w:rPr>
    </w:lvl>
    <w:lvl w:ilvl="7" w:tplc="3D14AD06" w:tentative="1">
      <w:start w:val="1"/>
      <w:numFmt w:val="bullet"/>
      <w:lvlText w:val="-"/>
      <w:lvlJc w:val="left"/>
      <w:pPr>
        <w:tabs>
          <w:tab w:val="num" w:pos="5760"/>
        </w:tabs>
        <w:ind w:left="5760" w:hanging="360"/>
      </w:pPr>
      <w:rPr>
        <w:rFonts w:ascii="Times New Roman" w:hAnsi="Times New Roman" w:hint="default"/>
      </w:rPr>
    </w:lvl>
    <w:lvl w:ilvl="8" w:tplc="538EFE8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000B5C"/>
    <w:multiLevelType w:val="hybridMultilevel"/>
    <w:tmpl w:val="CC7C58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22DC"/>
    <w:multiLevelType w:val="hybridMultilevel"/>
    <w:tmpl w:val="A3DA6674"/>
    <w:lvl w:ilvl="0" w:tplc="5F327C4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23591"/>
    <w:multiLevelType w:val="hybridMultilevel"/>
    <w:tmpl w:val="6D4098EA"/>
    <w:lvl w:ilvl="0" w:tplc="F6DC216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46421"/>
    <w:multiLevelType w:val="multilevel"/>
    <w:tmpl w:val="008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565359"/>
    <w:multiLevelType w:val="hybridMultilevel"/>
    <w:tmpl w:val="0D98D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C706A"/>
    <w:multiLevelType w:val="hybridMultilevel"/>
    <w:tmpl w:val="3210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D67EA"/>
    <w:multiLevelType w:val="hybridMultilevel"/>
    <w:tmpl w:val="EC144E1A"/>
    <w:lvl w:ilvl="0" w:tplc="429A86B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C50BF"/>
    <w:multiLevelType w:val="hybridMultilevel"/>
    <w:tmpl w:val="5BFE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06BC9"/>
    <w:multiLevelType w:val="hybridMultilevel"/>
    <w:tmpl w:val="7CEE45F2"/>
    <w:lvl w:ilvl="0" w:tplc="D990FE08">
      <w:start w:val="1"/>
      <w:numFmt w:val="bullet"/>
      <w:lvlText w:val="-"/>
      <w:lvlJc w:val="left"/>
      <w:pPr>
        <w:tabs>
          <w:tab w:val="num" w:pos="720"/>
        </w:tabs>
        <w:ind w:left="720" w:hanging="360"/>
      </w:pPr>
      <w:rPr>
        <w:rFonts w:ascii="Times New Roman" w:hAnsi="Times New Roman" w:hint="default"/>
      </w:rPr>
    </w:lvl>
    <w:lvl w:ilvl="1" w:tplc="1E6ED786">
      <w:numFmt w:val="bullet"/>
      <w:lvlText w:val="-"/>
      <w:lvlJc w:val="left"/>
      <w:pPr>
        <w:tabs>
          <w:tab w:val="num" w:pos="1440"/>
        </w:tabs>
        <w:ind w:left="1440" w:hanging="360"/>
      </w:pPr>
      <w:rPr>
        <w:rFonts w:ascii="Times New Roman" w:hAnsi="Times New Roman" w:hint="default"/>
      </w:rPr>
    </w:lvl>
    <w:lvl w:ilvl="2" w:tplc="EF1EFC18" w:tentative="1">
      <w:start w:val="1"/>
      <w:numFmt w:val="bullet"/>
      <w:lvlText w:val="-"/>
      <w:lvlJc w:val="left"/>
      <w:pPr>
        <w:tabs>
          <w:tab w:val="num" w:pos="2160"/>
        </w:tabs>
        <w:ind w:left="2160" w:hanging="360"/>
      </w:pPr>
      <w:rPr>
        <w:rFonts w:ascii="Times New Roman" w:hAnsi="Times New Roman" w:hint="default"/>
      </w:rPr>
    </w:lvl>
    <w:lvl w:ilvl="3" w:tplc="D5E8D294" w:tentative="1">
      <w:start w:val="1"/>
      <w:numFmt w:val="bullet"/>
      <w:lvlText w:val="-"/>
      <w:lvlJc w:val="left"/>
      <w:pPr>
        <w:tabs>
          <w:tab w:val="num" w:pos="2880"/>
        </w:tabs>
        <w:ind w:left="2880" w:hanging="360"/>
      </w:pPr>
      <w:rPr>
        <w:rFonts w:ascii="Times New Roman" w:hAnsi="Times New Roman" w:hint="default"/>
      </w:rPr>
    </w:lvl>
    <w:lvl w:ilvl="4" w:tplc="1764C556" w:tentative="1">
      <w:start w:val="1"/>
      <w:numFmt w:val="bullet"/>
      <w:lvlText w:val="-"/>
      <w:lvlJc w:val="left"/>
      <w:pPr>
        <w:tabs>
          <w:tab w:val="num" w:pos="3600"/>
        </w:tabs>
        <w:ind w:left="3600" w:hanging="360"/>
      </w:pPr>
      <w:rPr>
        <w:rFonts w:ascii="Times New Roman" w:hAnsi="Times New Roman" w:hint="default"/>
      </w:rPr>
    </w:lvl>
    <w:lvl w:ilvl="5" w:tplc="EA820590" w:tentative="1">
      <w:start w:val="1"/>
      <w:numFmt w:val="bullet"/>
      <w:lvlText w:val="-"/>
      <w:lvlJc w:val="left"/>
      <w:pPr>
        <w:tabs>
          <w:tab w:val="num" w:pos="4320"/>
        </w:tabs>
        <w:ind w:left="4320" w:hanging="360"/>
      </w:pPr>
      <w:rPr>
        <w:rFonts w:ascii="Times New Roman" w:hAnsi="Times New Roman" w:hint="default"/>
      </w:rPr>
    </w:lvl>
    <w:lvl w:ilvl="6" w:tplc="BB20396E" w:tentative="1">
      <w:start w:val="1"/>
      <w:numFmt w:val="bullet"/>
      <w:lvlText w:val="-"/>
      <w:lvlJc w:val="left"/>
      <w:pPr>
        <w:tabs>
          <w:tab w:val="num" w:pos="5040"/>
        </w:tabs>
        <w:ind w:left="5040" w:hanging="360"/>
      </w:pPr>
      <w:rPr>
        <w:rFonts w:ascii="Times New Roman" w:hAnsi="Times New Roman" w:hint="default"/>
      </w:rPr>
    </w:lvl>
    <w:lvl w:ilvl="7" w:tplc="C03A03F6" w:tentative="1">
      <w:start w:val="1"/>
      <w:numFmt w:val="bullet"/>
      <w:lvlText w:val="-"/>
      <w:lvlJc w:val="left"/>
      <w:pPr>
        <w:tabs>
          <w:tab w:val="num" w:pos="5760"/>
        </w:tabs>
        <w:ind w:left="5760" w:hanging="360"/>
      </w:pPr>
      <w:rPr>
        <w:rFonts w:ascii="Times New Roman" w:hAnsi="Times New Roman" w:hint="default"/>
      </w:rPr>
    </w:lvl>
    <w:lvl w:ilvl="8" w:tplc="335EE7A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715E29"/>
    <w:multiLevelType w:val="hybridMultilevel"/>
    <w:tmpl w:val="22624D48"/>
    <w:lvl w:ilvl="0" w:tplc="FAD42F2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329E1"/>
    <w:multiLevelType w:val="hybridMultilevel"/>
    <w:tmpl w:val="CD8ADDAC"/>
    <w:lvl w:ilvl="0" w:tplc="D4A4371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D59B9"/>
    <w:multiLevelType w:val="hybridMultilevel"/>
    <w:tmpl w:val="8132F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955BD2"/>
    <w:multiLevelType w:val="hybridMultilevel"/>
    <w:tmpl w:val="B7D8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140A0"/>
    <w:multiLevelType w:val="hybridMultilevel"/>
    <w:tmpl w:val="737E38DA"/>
    <w:lvl w:ilvl="0" w:tplc="38964B9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14821"/>
    <w:multiLevelType w:val="hybridMultilevel"/>
    <w:tmpl w:val="D632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D1842"/>
    <w:multiLevelType w:val="hybridMultilevel"/>
    <w:tmpl w:val="5BFE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7325D"/>
    <w:multiLevelType w:val="hybridMultilevel"/>
    <w:tmpl w:val="9A46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A7C13"/>
    <w:multiLevelType w:val="hybridMultilevel"/>
    <w:tmpl w:val="495E1CC0"/>
    <w:lvl w:ilvl="0" w:tplc="F5986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96D21"/>
    <w:multiLevelType w:val="hybridMultilevel"/>
    <w:tmpl w:val="B2BC464A"/>
    <w:lvl w:ilvl="0" w:tplc="3496B1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784965"/>
    <w:multiLevelType w:val="hybridMultilevel"/>
    <w:tmpl w:val="93DE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03B17"/>
    <w:multiLevelType w:val="hybridMultilevel"/>
    <w:tmpl w:val="4B4E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E6583B"/>
    <w:multiLevelType w:val="hybridMultilevel"/>
    <w:tmpl w:val="3706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14BFC"/>
    <w:multiLevelType w:val="hybridMultilevel"/>
    <w:tmpl w:val="9BDA9B2A"/>
    <w:lvl w:ilvl="0" w:tplc="2C04E17E">
      <w:start w:val="1"/>
      <w:numFmt w:val="bullet"/>
      <w:lvlText w:val="•"/>
      <w:lvlJc w:val="left"/>
      <w:pPr>
        <w:tabs>
          <w:tab w:val="num" w:pos="720"/>
        </w:tabs>
        <w:ind w:left="720" w:hanging="360"/>
      </w:pPr>
      <w:rPr>
        <w:rFonts w:ascii="Arial" w:hAnsi="Arial" w:hint="default"/>
      </w:rPr>
    </w:lvl>
    <w:lvl w:ilvl="1" w:tplc="475ABC86">
      <w:start w:val="1"/>
      <w:numFmt w:val="bullet"/>
      <w:lvlText w:val="•"/>
      <w:lvlJc w:val="left"/>
      <w:pPr>
        <w:tabs>
          <w:tab w:val="num" w:pos="1440"/>
        </w:tabs>
        <w:ind w:left="1440" w:hanging="360"/>
      </w:pPr>
      <w:rPr>
        <w:rFonts w:ascii="Arial" w:hAnsi="Arial" w:hint="default"/>
      </w:rPr>
    </w:lvl>
    <w:lvl w:ilvl="2" w:tplc="18A268C2" w:tentative="1">
      <w:start w:val="1"/>
      <w:numFmt w:val="bullet"/>
      <w:lvlText w:val="•"/>
      <w:lvlJc w:val="left"/>
      <w:pPr>
        <w:tabs>
          <w:tab w:val="num" w:pos="2160"/>
        </w:tabs>
        <w:ind w:left="2160" w:hanging="360"/>
      </w:pPr>
      <w:rPr>
        <w:rFonts w:ascii="Arial" w:hAnsi="Arial" w:hint="default"/>
      </w:rPr>
    </w:lvl>
    <w:lvl w:ilvl="3" w:tplc="74A2F082" w:tentative="1">
      <w:start w:val="1"/>
      <w:numFmt w:val="bullet"/>
      <w:lvlText w:val="•"/>
      <w:lvlJc w:val="left"/>
      <w:pPr>
        <w:tabs>
          <w:tab w:val="num" w:pos="2880"/>
        </w:tabs>
        <w:ind w:left="2880" w:hanging="360"/>
      </w:pPr>
      <w:rPr>
        <w:rFonts w:ascii="Arial" w:hAnsi="Arial" w:hint="default"/>
      </w:rPr>
    </w:lvl>
    <w:lvl w:ilvl="4" w:tplc="4AE6D6D0" w:tentative="1">
      <w:start w:val="1"/>
      <w:numFmt w:val="bullet"/>
      <w:lvlText w:val="•"/>
      <w:lvlJc w:val="left"/>
      <w:pPr>
        <w:tabs>
          <w:tab w:val="num" w:pos="3600"/>
        </w:tabs>
        <w:ind w:left="3600" w:hanging="360"/>
      </w:pPr>
      <w:rPr>
        <w:rFonts w:ascii="Arial" w:hAnsi="Arial" w:hint="default"/>
      </w:rPr>
    </w:lvl>
    <w:lvl w:ilvl="5" w:tplc="A6E8A4D4" w:tentative="1">
      <w:start w:val="1"/>
      <w:numFmt w:val="bullet"/>
      <w:lvlText w:val="•"/>
      <w:lvlJc w:val="left"/>
      <w:pPr>
        <w:tabs>
          <w:tab w:val="num" w:pos="4320"/>
        </w:tabs>
        <w:ind w:left="4320" w:hanging="360"/>
      </w:pPr>
      <w:rPr>
        <w:rFonts w:ascii="Arial" w:hAnsi="Arial" w:hint="default"/>
      </w:rPr>
    </w:lvl>
    <w:lvl w:ilvl="6" w:tplc="FEA4A18C" w:tentative="1">
      <w:start w:val="1"/>
      <w:numFmt w:val="bullet"/>
      <w:lvlText w:val="•"/>
      <w:lvlJc w:val="left"/>
      <w:pPr>
        <w:tabs>
          <w:tab w:val="num" w:pos="5040"/>
        </w:tabs>
        <w:ind w:left="5040" w:hanging="360"/>
      </w:pPr>
      <w:rPr>
        <w:rFonts w:ascii="Arial" w:hAnsi="Arial" w:hint="default"/>
      </w:rPr>
    </w:lvl>
    <w:lvl w:ilvl="7" w:tplc="F0F45A48" w:tentative="1">
      <w:start w:val="1"/>
      <w:numFmt w:val="bullet"/>
      <w:lvlText w:val="•"/>
      <w:lvlJc w:val="left"/>
      <w:pPr>
        <w:tabs>
          <w:tab w:val="num" w:pos="5760"/>
        </w:tabs>
        <w:ind w:left="5760" w:hanging="360"/>
      </w:pPr>
      <w:rPr>
        <w:rFonts w:ascii="Arial" w:hAnsi="Arial" w:hint="default"/>
      </w:rPr>
    </w:lvl>
    <w:lvl w:ilvl="8" w:tplc="E902B5B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D24BDB"/>
    <w:multiLevelType w:val="hybridMultilevel"/>
    <w:tmpl w:val="87B2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6"/>
  </w:num>
  <w:num w:numId="4">
    <w:abstractNumId w:val="15"/>
  </w:num>
  <w:num w:numId="5">
    <w:abstractNumId w:val="9"/>
  </w:num>
  <w:num w:numId="6">
    <w:abstractNumId w:val="17"/>
  </w:num>
  <w:num w:numId="7">
    <w:abstractNumId w:val="5"/>
  </w:num>
  <w:num w:numId="8">
    <w:abstractNumId w:val="3"/>
  </w:num>
  <w:num w:numId="9">
    <w:abstractNumId w:val="12"/>
  </w:num>
  <w:num w:numId="10">
    <w:abstractNumId w:val="0"/>
  </w:num>
  <w:num w:numId="11">
    <w:abstractNumId w:val="10"/>
  </w:num>
  <w:num w:numId="12">
    <w:abstractNumId w:val="1"/>
  </w:num>
  <w:num w:numId="13">
    <w:abstractNumId w:val="14"/>
  </w:num>
  <w:num w:numId="14">
    <w:abstractNumId w:val="16"/>
  </w:num>
  <w:num w:numId="15">
    <w:abstractNumId w:val="13"/>
  </w:num>
  <w:num w:numId="16">
    <w:abstractNumId w:val="7"/>
  </w:num>
  <w:num w:numId="17">
    <w:abstractNumId w:val="27"/>
  </w:num>
  <w:num w:numId="18">
    <w:abstractNumId w:val="22"/>
  </w:num>
  <w:num w:numId="19">
    <w:abstractNumId w:val="20"/>
  </w:num>
  <w:num w:numId="20">
    <w:abstractNumId w:val="25"/>
  </w:num>
  <w:num w:numId="21">
    <w:abstractNumId w:val="18"/>
  </w:num>
  <w:num w:numId="22">
    <w:abstractNumId w:val="11"/>
  </w:num>
  <w:num w:numId="23">
    <w:abstractNumId w:val="19"/>
  </w:num>
  <w:num w:numId="24">
    <w:abstractNumId w:val="24"/>
  </w:num>
  <w:num w:numId="25">
    <w:abstractNumId w:val="23"/>
  </w:num>
  <w:num w:numId="26">
    <w:abstractNumId w:val="21"/>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2E"/>
    <w:rsid w:val="000003C7"/>
    <w:rsid w:val="000009C3"/>
    <w:rsid w:val="0000137D"/>
    <w:rsid w:val="00001B10"/>
    <w:rsid w:val="000020BE"/>
    <w:rsid w:val="00004877"/>
    <w:rsid w:val="000049F9"/>
    <w:rsid w:val="00005798"/>
    <w:rsid w:val="0001056E"/>
    <w:rsid w:val="0001062D"/>
    <w:rsid w:val="00011331"/>
    <w:rsid w:val="00012DAC"/>
    <w:rsid w:val="0001354A"/>
    <w:rsid w:val="00013D00"/>
    <w:rsid w:val="00014912"/>
    <w:rsid w:val="00015342"/>
    <w:rsid w:val="0001710C"/>
    <w:rsid w:val="000172ED"/>
    <w:rsid w:val="00020C0D"/>
    <w:rsid w:val="0002199B"/>
    <w:rsid w:val="00021E51"/>
    <w:rsid w:val="0002389E"/>
    <w:rsid w:val="00023A04"/>
    <w:rsid w:val="0002550C"/>
    <w:rsid w:val="0002784F"/>
    <w:rsid w:val="000307D8"/>
    <w:rsid w:val="00030805"/>
    <w:rsid w:val="0003418B"/>
    <w:rsid w:val="000345BF"/>
    <w:rsid w:val="0003553C"/>
    <w:rsid w:val="000355B5"/>
    <w:rsid w:val="00037DB6"/>
    <w:rsid w:val="000422E5"/>
    <w:rsid w:val="000429AC"/>
    <w:rsid w:val="00043E3E"/>
    <w:rsid w:val="00044529"/>
    <w:rsid w:val="00044C0F"/>
    <w:rsid w:val="000454B9"/>
    <w:rsid w:val="00047F9B"/>
    <w:rsid w:val="00050479"/>
    <w:rsid w:val="00053F25"/>
    <w:rsid w:val="00054B86"/>
    <w:rsid w:val="00056B30"/>
    <w:rsid w:val="000577C7"/>
    <w:rsid w:val="00057B09"/>
    <w:rsid w:val="00057C4F"/>
    <w:rsid w:val="00060372"/>
    <w:rsid w:val="00060689"/>
    <w:rsid w:val="000626DF"/>
    <w:rsid w:val="00065626"/>
    <w:rsid w:val="00065A6A"/>
    <w:rsid w:val="0006747A"/>
    <w:rsid w:val="000708DB"/>
    <w:rsid w:val="0007175A"/>
    <w:rsid w:val="0007255B"/>
    <w:rsid w:val="00072964"/>
    <w:rsid w:val="00073F99"/>
    <w:rsid w:val="0007696A"/>
    <w:rsid w:val="0007782A"/>
    <w:rsid w:val="00080D9F"/>
    <w:rsid w:val="00082E6D"/>
    <w:rsid w:val="00083420"/>
    <w:rsid w:val="00083616"/>
    <w:rsid w:val="0008374B"/>
    <w:rsid w:val="00083AB4"/>
    <w:rsid w:val="00084899"/>
    <w:rsid w:val="00085004"/>
    <w:rsid w:val="00086B93"/>
    <w:rsid w:val="00086DAD"/>
    <w:rsid w:val="0008754C"/>
    <w:rsid w:val="00087EC2"/>
    <w:rsid w:val="000906A5"/>
    <w:rsid w:val="00092F5F"/>
    <w:rsid w:val="00094893"/>
    <w:rsid w:val="0009545A"/>
    <w:rsid w:val="00095A0B"/>
    <w:rsid w:val="000A0597"/>
    <w:rsid w:val="000A1A0D"/>
    <w:rsid w:val="000A2C19"/>
    <w:rsid w:val="000A3B86"/>
    <w:rsid w:val="000A3DAE"/>
    <w:rsid w:val="000A45DE"/>
    <w:rsid w:val="000A4D6D"/>
    <w:rsid w:val="000A74D1"/>
    <w:rsid w:val="000B02CC"/>
    <w:rsid w:val="000B0DE6"/>
    <w:rsid w:val="000B1063"/>
    <w:rsid w:val="000B1BE5"/>
    <w:rsid w:val="000B1D85"/>
    <w:rsid w:val="000B2003"/>
    <w:rsid w:val="000B2D83"/>
    <w:rsid w:val="000B4807"/>
    <w:rsid w:val="000B5269"/>
    <w:rsid w:val="000B5E6C"/>
    <w:rsid w:val="000B61AD"/>
    <w:rsid w:val="000C0974"/>
    <w:rsid w:val="000C2159"/>
    <w:rsid w:val="000C23EF"/>
    <w:rsid w:val="000C5536"/>
    <w:rsid w:val="000D03AD"/>
    <w:rsid w:val="000D0868"/>
    <w:rsid w:val="000D1785"/>
    <w:rsid w:val="000D28C0"/>
    <w:rsid w:val="000D3078"/>
    <w:rsid w:val="000D3249"/>
    <w:rsid w:val="000D3DA8"/>
    <w:rsid w:val="000D4FD7"/>
    <w:rsid w:val="000D5C6B"/>
    <w:rsid w:val="000D5E45"/>
    <w:rsid w:val="000D66DD"/>
    <w:rsid w:val="000D72A7"/>
    <w:rsid w:val="000E00AD"/>
    <w:rsid w:val="000E081E"/>
    <w:rsid w:val="000E2026"/>
    <w:rsid w:val="000E30E2"/>
    <w:rsid w:val="000E530F"/>
    <w:rsid w:val="000E61BB"/>
    <w:rsid w:val="000E6B46"/>
    <w:rsid w:val="000F0755"/>
    <w:rsid w:val="000F0CD6"/>
    <w:rsid w:val="000F1AD4"/>
    <w:rsid w:val="000F32FA"/>
    <w:rsid w:val="000F3E9D"/>
    <w:rsid w:val="000F4A1A"/>
    <w:rsid w:val="000F58E7"/>
    <w:rsid w:val="00101B0E"/>
    <w:rsid w:val="00102055"/>
    <w:rsid w:val="001026E2"/>
    <w:rsid w:val="00102899"/>
    <w:rsid w:val="00103804"/>
    <w:rsid w:val="00104AD8"/>
    <w:rsid w:val="0010730D"/>
    <w:rsid w:val="00107B9A"/>
    <w:rsid w:val="00110130"/>
    <w:rsid w:val="00110C48"/>
    <w:rsid w:val="001115C7"/>
    <w:rsid w:val="00111AF6"/>
    <w:rsid w:val="001145EF"/>
    <w:rsid w:val="0011711F"/>
    <w:rsid w:val="00120934"/>
    <w:rsid w:val="00120B85"/>
    <w:rsid w:val="00120C8D"/>
    <w:rsid w:val="00120CA8"/>
    <w:rsid w:val="00122C27"/>
    <w:rsid w:val="00122C2F"/>
    <w:rsid w:val="00123291"/>
    <w:rsid w:val="00123C79"/>
    <w:rsid w:val="00125C7B"/>
    <w:rsid w:val="001270DD"/>
    <w:rsid w:val="00130913"/>
    <w:rsid w:val="001316C5"/>
    <w:rsid w:val="001317D8"/>
    <w:rsid w:val="00131A21"/>
    <w:rsid w:val="00133542"/>
    <w:rsid w:val="00133FFB"/>
    <w:rsid w:val="001353E1"/>
    <w:rsid w:val="00135AE4"/>
    <w:rsid w:val="00135CF5"/>
    <w:rsid w:val="001360AD"/>
    <w:rsid w:val="00136901"/>
    <w:rsid w:val="00136C7F"/>
    <w:rsid w:val="0013744D"/>
    <w:rsid w:val="00137B3D"/>
    <w:rsid w:val="00137F09"/>
    <w:rsid w:val="001408BB"/>
    <w:rsid w:val="00141DA5"/>
    <w:rsid w:val="00142622"/>
    <w:rsid w:val="00143BBF"/>
    <w:rsid w:val="0014420F"/>
    <w:rsid w:val="001454E2"/>
    <w:rsid w:val="00147F60"/>
    <w:rsid w:val="00155959"/>
    <w:rsid w:val="00155CDC"/>
    <w:rsid w:val="00157691"/>
    <w:rsid w:val="00157ECB"/>
    <w:rsid w:val="001637C0"/>
    <w:rsid w:val="001638ED"/>
    <w:rsid w:val="00164F85"/>
    <w:rsid w:val="00165A3D"/>
    <w:rsid w:val="00166F95"/>
    <w:rsid w:val="00167823"/>
    <w:rsid w:val="00167E7D"/>
    <w:rsid w:val="00170157"/>
    <w:rsid w:val="0017147B"/>
    <w:rsid w:val="001715CB"/>
    <w:rsid w:val="00171B76"/>
    <w:rsid w:val="00172424"/>
    <w:rsid w:val="001737EA"/>
    <w:rsid w:val="00173FA1"/>
    <w:rsid w:val="0017582F"/>
    <w:rsid w:val="00175E6D"/>
    <w:rsid w:val="00176B7D"/>
    <w:rsid w:val="0018076E"/>
    <w:rsid w:val="00181111"/>
    <w:rsid w:val="001817C2"/>
    <w:rsid w:val="00181928"/>
    <w:rsid w:val="001824BA"/>
    <w:rsid w:val="001824E0"/>
    <w:rsid w:val="001830AC"/>
    <w:rsid w:val="00183D9C"/>
    <w:rsid w:val="00184AFC"/>
    <w:rsid w:val="00184B04"/>
    <w:rsid w:val="0018500D"/>
    <w:rsid w:val="001868EF"/>
    <w:rsid w:val="00187266"/>
    <w:rsid w:val="001908BE"/>
    <w:rsid w:val="00190AAE"/>
    <w:rsid w:val="00191FB3"/>
    <w:rsid w:val="00193689"/>
    <w:rsid w:val="00193EE6"/>
    <w:rsid w:val="00194CDC"/>
    <w:rsid w:val="00194D5C"/>
    <w:rsid w:val="00194EF8"/>
    <w:rsid w:val="00195087"/>
    <w:rsid w:val="00196923"/>
    <w:rsid w:val="001A03A3"/>
    <w:rsid w:val="001A1A80"/>
    <w:rsid w:val="001A1BBB"/>
    <w:rsid w:val="001A34AA"/>
    <w:rsid w:val="001A49B4"/>
    <w:rsid w:val="001A720F"/>
    <w:rsid w:val="001B1E71"/>
    <w:rsid w:val="001B2F05"/>
    <w:rsid w:val="001B3277"/>
    <w:rsid w:val="001B4A04"/>
    <w:rsid w:val="001B593A"/>
    <w:rsid w:val="001B63A0"/>
    <w:rsid w:val="001B6EAC"/>
    <w:rsid w:val="001C0092"/>
    <w:rsid w:val="001C1D9F"/>
    <w:rsid w:val="001C2A8B"/>
    <w:rsid w:val="001C2DC8"/>
    <w:rsid w:val="001C5500"/>
    <w:rsid w:val="001C5B08"/>
    <w:rsid w:val="001D0A90"/>
    <w:rsid w:val="001D1274"/>
    <w:rsid w:val="001D1E64"/>
    <w:rsid w:val="001D25C0"/>
    <w:rsid w:val="001D36E4"/>
    <w:rsid w:val="001D3846"/>
    <w:rsid w:val="001D3AEF"/>
    <w:rsid w:val="001D3FA0"/>
    <w:rsid w:val="001D44BB"/>
    <w:rsid w:val="001D534D"/>
    <w:rsid w:val="001D5A16"/>
    <w:rsid w:val="001D5DA2"/>
    <w:rsid w:val="001D7966"/>
    <w:rsid w:val="001E0743"/>
    <w:rsid w:val="001E118F"/>
    <w:rsid w:val="001E188A"/>
    <w:rsid w:val="001E2739"/>
    <w:rsid w:val="001E4078"/>
    <w:rsid w:val="001E570B"/>
    <w:rsid w:val="001F03A2"/>
    <w:rsid w:val="001F22DC"/>
    <w:rsid w:val="001F2692"/>
    <w:rsid w:val="001F2931"/>
    <w:rsid w:val="001F2A18"/>
    <w:rsid w:val="001F2BE9"/>
    <w:rsid w:val="001F3E85"/>
    <w:rsid w:val="001F3F0A"/>
    <w:rsid w:val="001F44F8"/>
    <w:rsid w:val="001F4A0E"/>
    <w:rsid w:val="001F63D4"/>
    <w:rsid w:val="0020062B"/>
    <w:rsid w:val="00200A9A"/>
    <w:rsid w:val="002029E3"/>
    <w:rsid w:val="00203571"/>
    <w:rsid w:val="00203A43"/>
    <w:rsid w:val="00203FBA"/>
    <w:rsid w:val="002051CD"/>
    <w:rsid w:val="002071A7"/>
    <w:rsid w:val="00207336"/>
    <w:rsid w:val="002073A5"/>
    <w:rsid w:val="00207774"/>
    <w:rsid w:val="00207878"/>
    <w:rsid w:val="00210E78"/>
    <w:rsid w:val="0021213F"/>
    <w:rsid w:val="002125F0"/>
    <w:rsid w:val="00215C7D"/>
    <w:rsid w:val="002162B7"/>
    <w:rsid w:val="00216452"/>
    <w:rsid w:val="00216CF7"/>
    <w:rsid w:val="0021770B"/>
    <w:rsid w:val="002177DA"/>
    <w:rsid w:val="002201E3"/>
    <w:rsid w:val="002211DA"/>
    <w:rsid w:val="0022133B"/>
    <w:rsid w:val="002218E4"/>
    <w:rsid w:val="00222479"/>
    <w:rsid w:val="00224936"/>
    <w:rsid w:val="00224AF6"/>
    <w:rsid w:val="002271EE"/>
    <w:rsid w:val="0023039D"/>
    <w:rsid w:val="00230A67"/>
    <w:rsid w:val="00230B33"/>
    <w:rsid w:val="00231192"/>
    <w:rsid w:val="00231244"/>
    <w:rsid w:val="002315F8"/>
    <w:rsid w:val="002319FD"/>
    <w:rsid w:val="00231ED3"/>
    <w:rsid w:val="00232860"/>
    <w:rsid w:val="00234146"/>
    <w:rsid w:val="00234598"/>
    <w:rsid w:val="002355D1"/>
    <w:rsid w:val="0023779A"/>
    <w:rsid w:val="00237BAC"/>
    <w:rsid w:val="00237E09"/>
    <w:rsid w:val="00237FB3"/>
    <w:rsid w:val="002405E7"/>
    <w:rsid w:val="002432AF"/>
    <w:rsid w:val="00243BD3"/>
    <w:rsid w:val="002458FA"/>
    <w:rsid w:val="002468A5"/>
    <w:rsid w:val="002508CF"/>
    <w:rsid w:val="00250B5D"/>
    <w:rsid w:val="00250F6E"/>
    <w:rsid w:val="00251D71"/>
    <w:rsid w:val="00252D69"/>
    <w:rsid w:val="00255087"/>
    <w:rsid w:val="00255351"/>
    <w:rsid w:val="00255C82"/>
    <w:rsid w:val="00255D67"/>
    <w:rsid w:val="0025775C"/>
    <w:rsid w:val="0025778B"/>
    <w:rsid w:val="002579F6"/>
    <w:rsid w:val="0026063B"/>
    <w:rsid w:val="002608E7"/>
    <w:rsid w:val="002619D0"/>
    <w:rsid w:val="00263A04"/>
    <w:rsid w:val="002648D9"/>
    <w:rsid w:val="00264A56"/>
    <w:rsid w:val="00265256"/>
    <w:rsid w:val="00267676"/>
    <w:rsid w:val="00272AA4"/>
    <w:rsid w:val="002738EA"/>
    <w:rsid w:val="00273C70"/>
    <w:rsid w:val="00274736"/>
    <w:rsid w:val="00275579"/>
    <w:rsid w:val="0027631A"/>
    <w:rsid w:val="00276801"/>
    <w:rsid w:val="00281D1A"/>
    <w:rsid w:val="00283C9E"/>
    <w:rsid w:val="002859B5"/>
    <w:rsid w:val="00285C8D"/>
    <w:rsid w:val="002860F8"/>
    <w:rsid w:val="0029074D"/>
    <w:rsid w:val="00291315"/>
    <w:rsid w:val="0029336C"/>
    <w:rsid w:val="00294153"/>
    <w:rsid w:val="0029464D"/>
    <w:rsid w:val="0029469F"/>
    <w:rsid w:val="00297E72"/>
    <w:rsid w:val="002A0227"/>
    <w:rsid w:val="002A04E5"/>
    <w:rsid w:val="002A1923"/>
    <w:rsid w:val="002A2937"/>
    <w:rsid w:val="002A2943"/>
    <w:rsid w:val="002A5199"/>
    <w:rsid w:val="002A77E7"/>
    <w:rsid w:val="002B1274"/>
    <w:rsid w:val="002B1436"/>
    <w:rsid w:val="002B149A"/>
    <w:rsid w:val="002B219C"/>
    <w:rsid w:val="002B2CD5"/>
    <w:rsid w:val="002B3BE6"/>
    <w:rsid w:val="002B442C"/>
    <w:rsid w:val="002B51D2"/>
    <w:rsid w:val="002B5960"/>
    <w:rsid w:val="002B5AD7"/>
    <w:rsid w:val="002B5EF3"/>
    <w:rsid w:val="002B697D"/>
    <w:rsid w:val="002C1177"/>
    <w:rsid w:val="002C2345"/>
    <w:rsid w:val="002C2911"/>
    <w:rsid w:val="002C2E9D"/>
    <w:rsid w:val="002C4DF9"/>
    <w:rsid w:val="002C4F9B"/>
    <w:rsid w:val="002C5648"/>
    <w:rsid w:val="002C6836"/>
    <w:rsid w:val="002C6956"/>
    <w:rsid w:val="002D0634"/>
    <w:rsid w:val="002D0854"/>
    <w:rsid w:val="002D1F45"/>
    <w:rsid w:val="002D20CE"/>
    <w:rsid w:val="002D2D93"/>
    <w:rsid w:val="002D36FD"/>
    <w:rsid w:val="002D3C9D"/>
    <w:rsid w:val="002D608E"/>
    <w:rsid w:val="002D6C59"/>
    <w:rsid w:val="002D75A7"/>
    <w:rsid w:val="002E072F"/>
    <w:rsid w:val="002E2F13"/>
    <w:rsid w:val="002E34E4"/>
    <w:rsid w:val="002E397A"/>
    <w:rsid w:val="002E4696"/>
    <w:rsid w:val="002E4E20"/>
    <w:rsid w:val="002E54A3"/>
    <w:rsid w:val="002F04E3"/>
    <w:rsid w:val="002F0680"/>
    <w:rsid w:val="002F219D"/>
    <w:rsid w:val="002F23CC"/>
    <w:rsid w:val="002F2711"/>
    <w:rsid w:val="002F34A7"/>
    <w:rsid w:val="002F35CE"/>
    <w:rsid w:val="002F3BC8"/>
    <w:rsid w:val="002F3CE1"/>
    <w:rsid w:val="002F49B1"/>
    <w:rsid w:val="002F7F05"/>
    <w:rsid w:val="00300561"/>
    <w:rsid w:val="003009B2"/>
    <w:rsid w:val="00302F01"/>
    <w:rsid w:val="00303973"/>
    <w:rsid w:val="00303A4E"/>
    <w:rsid w:val="00303DC9"/>
    <w:rsid w:val="00304545"/>
    <w:rsid w:val="0030548C"/>
    <w:rsid w:val="00305EBF"/>
    <w:rsid w:val="00306F0D"/>
    <w:rsid w:val="003074B3"/>
    <w:rsid w:val="00307F01"/>
    <w:rsid w:val="00311C6B"/>
    <w:rsid w:val="0031327C"/>
    <w:rsid w:val="0031471F"/>
    <w:rsid w:val="00316FA8"/>
    <w:rsid w:val="0032141A"/>
    <w:rsid w:val="003234D8"/>
    <w:rsid w:val="00324039"/>
    <w:rsid w:val="00330AA7"/>
    <w:rsid w:val="00331F72"/>
    <w:rsid w:val="0033307B"/>
    <w:rsid w:val="003346CC"/>
    <w:rsid w:val="00334886"/>
    <w:rsid w:val="00337FA9"/>
    <w:rsid w:val="003403EF"/>
    <w:rsid w:val="00341185"/>
    <w:rsid w:val="0034229E"/>
    <w:rsid w:val="00342513"/>
    <w:rsid w:val="003425FA"/>
    <w:rsid w:val="0034393E"/>
    <w:rsid w:val="00344195"/>
    <w:rsid w:val="00344794"/>
    <w:rsid w:val="00344B94"/>
    <w:rsid w:val="003461A8"/>
    <w:rsid w:val="00346652"/>
    <w:rsid w:val="00346E26"/>
    <w:rsid w:val="00347151"/>
    <w:rsid w:val="00347EDE"/>
    <w:rsid w:val="00350972"/>
    <w:rsid w:val="00352E77"/>
    <w:rsid w:val="00354370"/>
    <w:rsid w:val="003571D1"/>
    <w:rsid w:val="00360208"/>
    <w:rsid w:val="00362661"/>
    <w:rsid w:val="00362C8E"/>
    <w:rsid w:val="00362F55"/>
    <w:rsid w:val="003633CB"/>
    <w:rsid w:val="003670B4"/>
    <w:rsid w:val="003677E0"/>
    <w:rsid w:val="003679B8"/>
    <w:rsid w:val="00367C01"/>
    <w:rsid w:val="00370789"/>
    <w:rsid w:val="003708A3"/>
    <w:rsid w:val="00372A5D"/>
    <w:rsid w:val="00373AF2"/>
    <w:rsid w:val="0037437D"/>
    <w:rsid w:val="00374574"/>
    <w:rsid w:val="00374A18"/>
    <w:rsid w:val="00374D3D"/>
    <w:rsid w:val="003806D5"/>
    <w:rsid w:val="00380BA3"/>
    <w:rsid w:val="00381337"/>
    <w:rsid w:val="00384DA4"/>
    <w:rsid w:val="00390CA8"/>
    <w:rsid w:val="00393A66"/>
    <w:rsid w:val="003949D0"/>
    <w:rsid w:val="00394CCE"/>
    <w:rsid w:val="0039561C"/>
    <w:rsid w:val="003956C7"/>
    <w:rsid w:val="00395B79"/>
    <w:rsid w:val="00396929"/>
    <w:rsid w:val="003971B2"/>
    <w:rsid w:val="003A1E08"/>
    <w:rsid w:val="003A243C"/>
    <w:rsid w:val="003A2531"/>
    <w:rsid w:val="003A48DE"/>
    <w:rsid w:val="003A5DC4"/>
    <w:rsid w:val="003A6BEC"/>
    <w:rsid w:val="003A7BA4"/>
    <w:rsid w:val="003B0369"/>
    <w:rsid w:val="003B07AA"/>
    <w:rsid w:val="003B5CCE"/>
    <w:rsid w:val="003B7303"/>
    <w:rsid w:val="003B7AC0"/>
    <w:rsid w:val="003B7CC9"/>
    <w:rsid w:val="003B7E0C"/>
    <w:rsid w:val="003C0CFD"/>
    <w:rsid w:val="003C127B"/>
    <w:rsid w:val="003C1A56"/>
    <w:rsid w:val="003C30F7"/>
    <w:rsid w:val="003C3989"/>
    <w:rsid w:val="003C4272"/>
    <w:rsid w:val="003C448F"/>
    <w:rsid w:val="003C5443"/>
    <w:rsid w:val="003C5E27"/>
    <w:rsid w:val="003C62E4"/>
    <w:rsid w:val="003C6999"/>
    <w:rsid w:val="003C7452"/>
    <w:rsid w:val="003D0D2E"/>
    <w:rsid w:val="003D1818"/>
    <w:rsid w:val="003D1C15"/>
    <w:rsid w:val="003D2CA5"/>
    <w:rsid w:val="003D48C9"/>
    <w:rsid w:val="003D545A"/>
    <w:rsid w:val="003D61D0"/>
    <w:rsid w:val="003D6950"/>
    <w:rsid w:val="003E0F45"/>
    <w:rsid w:val="003E202D"/>
    <w:rsid w:val="003E291E"/>
    <w:rsid w:val="003E4632"/>
    <w:rsid w:val="003E650A"/>
    <w:rsid w:val="003E6AF9"/>
    <w:rsid w:val="003E73E0"/>
    <w:rsid w:val="003E77A4"/>
    <w:rsid w:val="003F04FC"/>
    <w:rsid w:val="003F1CAC"/>
    <w:rsid w:val="003F1F99"/>
    <w:rsid w:val="003F23FB"/>
    <w:rsid w:val="003F35CE"/>
    <w:rsid w:val="003F3703"/>
    <w:rsid w:val="003F3E8C"/>
    <w:rsid w:val="004005CD"/>
    <w:rsid w:val="0040087E"/>
    <w:rsid w:val="00401807"/>
    <w:rsid w:val="004027F9"/>
    <w:rsid w:val="00402935"/>
    <w:rsid w:val="00403FAE"/>
    <w:rsid w:val="00405008"/>
    <w:rsid w:val="004050CD"/>
    <w:rsid w:val="004054A9"/>
    <w:rsid w:val="004066DF"/>
    <w:rsid w:val="0041060D"/>
    <w:rsid w:val="00410A1A"/>
    <w:rsid w:val="00410EBA"/>
    <w:rsid w:val="00411A20"/>
    <w:rsid w:val="00411E09"/>
    <w:rsid w:val="00413A2E"/>
    <w:rsid w:val="00413ABF"/>
    <w:rsid w:val="004144E3"/>
    <w:rsid w:val="00414EFF"/>
    <w:rsid w:val="0041515C"/>
    <w:rsid w:val="00415441"/>
    <w:rsid w:val="00420E32"/>
    <w:rsid w:val="00421393"/>
    <w:rsid w:val="0042204E"/>
    <w:rsid w:val="0042234F"/>
    <w:rsid w:val="004223B1"/>
    <w:rsid w:val="0042322C"/>
    <w:rsid w:val="004236C6"/>
    <w:rsid w:val="00423C68"/>
    <w:rsid w:val="0042521B"/>
    <w:rsid w:val="00426429"/>
    <w:rsid w:val="0043039B"/>
    <w:rsid w:val="00431678"/>
    <w:rsid w:val="00431F98"/>
    <w:rsid w:val="004326A2"/>
    <w:rsid w:val="00432A80"/>
    <w:rsid w:val="00433177"/>
    <w:rsid w:val="004341A5"/>
    <w:rsid w:val="00435EED"/>
    <w:rsid w:val="004366C7"/>
    <w:rsid w:val="00437921"/>
    <w:rsid w:val="00437A85"/>
    <w:rsid w:val="00440143"/>
    <w:rsid w:val="004429F6"/>
    <w:rsid w:val="004430BD"/>
    <w:rsid w:val="00444878"/>
    <w:rsid w:val="00446967"/>
    <w:rsid w:val="00447709"/>
    <w:rsid w:val="004478F9"/>
    <w:rsid w:val="00450A96"/>
    <w:rsid w:val="00450F23"/>
    <w:rsid w:val="00451601"/>
    <w:rsid w:val="00451C98"/>
    <w:rsid w:val="00452706"/>
    <w:rsid w:val="00453B45"/>
    <w:rsid w:val="004544D2"/>
    <w:rsid w:val="00455866"/>
    <w:rsid w:val="00455875"/>
    <w:rsid w:val="00456973"/>
    <w:rsid w:val="004573AD"/>
    <w:rsid w:val="004574A9"/>
    <w:rsid w:val="00457E41"/>
    <w:rsid w:val="00461E3D"/>
    <w:rsid w:val="00464644"/>
    <w:rsid w:val="00465EE7"/>
    <w:rsid w:val="00465FFD"/>
    <w:rsid w:val="00466D4A"/>
    <w:rsid w:val="00467CEC"/>
    <w:rsid w:val="00470DB4"/>
    <w:rsid w:val="004713B8"/>
    <w:rsid w:val="00471C63"/>
    <w:rsid w:val="00472310"/>
    <w:rsid w:val="00473306"/>
    <w:rsid w:val="004734DA"/>
    <w:rsid w:val="00473621"/>
    <w:rsid w:val="00474DA3"/>
    <w:rsid w:val="004751F0"/>
    <w:rsid w:val="004760E1"/>
    <w:rsid w:val="004767A0"/>
    <w:rsid w:val="00476E66"/>
    <w:rsid w:val="00486092"/>
    <w:rsid w:val="004865AC"/>
    <w:rsid w:val="00487A38"/>
    <w:rsid w:val="0049040A"/>
    <w:rsid w:val="0049074F"/>
    <w:rsid w:val="00490EC1"/>
    <w:rsid w:val="00492B99"/>
    <w:rsid w:val="00494257"/>
    <w:rsid w:val="00494651"/>
    <w:rsid w:val="004947BC"/>
    <w:rsid w:val="00494DBA"/>
    <w:rsid w:val="004952D8"/>
    <w:rsid w:val="00497D21"/>
    <w:rsid w:val="004A0E1D"/>
    <w:rsid w:val="004A1462"/>
    <w:rsid w:val="004A2A4A"/>
    <w:rsid w:val="004A2C80"/>
    <w:rsid w:val="004A33C8"/>
    <w:rsid w:val="004A3F97"/>
    <w:rsid w:val="004A4244"/>
    <w:rsid w:val="004A5FDC"/>
    <w:rsid w:val="004A7D79"/>
    <w:rsid w:val="004B0072"/>
    <w:rsid w:val="004B00F9"/>
    <w:rsid w:val="004B027C"/>
    <w:rsid w:val="004B098E"/>
    <w:rsid w:val="004B09DA"/>
    <w:rsid w:val="004B14DE"/>
    <w:rsid w:val="004B1609"/>
    <w:rsid w:val="004B1D82"/>
    <w:rsid w:val="004B26E7"/>
    <w:rsid w:val="004B488D"/>
    <w:rsid w:val="004B505D"/>
    <w:rsid w:val="004B5120"/>
    <w:rsid w:val="004B538D"/>
    <w:rsid w:val="004B69BA"/>
    <w:rsid w:val="004B73EB"/>
    <w:rsid w:val="004B776B"/>
    <w:rsid w:val="004C0049"/>
    <w:rsid w:val="004C1742"/>
    <w:rsid w:val="004C219D"/>
    <w:rsid w:val="004C51B9"/>
    <w:rsid w:val="004C639A"/>
    <w:rsid w:val="004C6FAF"/>
    <w:rsid w:val="004C7460"/>
    <w:rsid w:val="004C766F"/>
    <w:rsid w:val="004C78F2"/>
    <w:rsid w:val="004D0D1A"/>
    <w:rsid w:val="004D0E99"/>
    <w:rsid w:val="004D30C0"/>
    <w:rsid w:val="004D3D54"/>
    <w:rsid w:val="004D4C57"/>
    <w:rsid w:val="004D5561"/>
    <w:rsid w:val="004D76C1"/>
    <w:rsid w:val="004E0E20"/>
    <w:rsid w:val="004E195B"/>
    <w:rsid w:val="004E24F4"/>
    <w:rsid w:val="004E7C17"/>
    <w:rsid w:val="004F0669"/>
    <w:rsid w:val="004F1BA2"/>
    <w:rsid w:val="004F4070"/>
    <w:rsid w:val="004F55F6"/>
    <w:rsid w:val="004F5CF8"/>
    <w:rsid w:val="004F6619"/>
    <w:rsid w:val="004F6BD3"/>
    <w:rsid w:val="004F6C4C"/>
    <w:rsid w:val="005005B1"/>
    <w:rsid w:val="0050067A"/>
    <w:rsid w:val="00502CBF"/>
    <w:rsid w:val="00503521"/>
    <w:rsid w:val="005035ED"/>
    <w:rsid w:val="00505E0B"/>
    <w:rsid w:val="0050634E"/>
    <w:rsid w:val="00507DA4"/>
    <w:rsid w:val="00510BB1"/>
    <w:rsid w:val="00511DD7"/>
    <w:rsid w:val="00512989"/>
    <w:rsid w:val="00513087"/>
    <w:rsid w:val="00514DE0"/>
    <w:rsid w:val="005168DC"/>
    <w:rsid w:val="00516B43"/>
    <w:rsid w:val="00517CD4"/>
    <w:rsid w:val="005214E0"/>
    <w:rsid w:val="00521FF7"/>
    <w:rsid w:val="00522009"/>
    <w:rsid w:val="00523F1C"/>
    <w:rsid w:val="00525430"/>
    <w:rsid w:val="0052681A"/>
    <w:rsid w:val="00527048"/>
    <w:rsid w:val="0052733D"/>
    <w:rsid w:val="005311A5"/>
    <w:rsid w:val="0053172D"/>
    <w:rsid w:val="00532E1A"/>
    <w:rsid w:val="005333AE"/>
    <w:rsid w:val="00534246"/>
    <w:rsid w:val="00535D75"/>
    <w:rsid w:val="0053638F"/>
    <w:rsid w:val="00536750"/>
    <w:rsid w:val="00536B4F"/>
    <w:rsid w:val="0054040F"/>
    <w:rsid w:val="00540680"/>
    <w:rsid w:val="00540FAB"/>
    <w:rsid w:val="00541CA6"/>
    <w:rsid w:val="005421EC"/>
    <w:rsid w:val="005427C8"/>
    <w:rsid w:val="005436EC"/>
    <w:rsid w:val="00543825"/>
    <w:rsid w:val="00545B0C"/>
    <w:rsid w:val="00546C37"/>
    <w:rsid w:val="00546EB1"/>
    <w:rsid w:val="00550CFA"/>
    <w:rsid w:val="0055255E"/>
    <w:rsid w:val="0055333F"/>
    <w:rsid w:val="00553525"/>
    <w:rsid w:val="00555266"/>
    <w:rsid w:val="00555277"/>
    <w:rsid w:val="00555338"/>
    <w:rsid w:val="00555E98"/>
    <w:rsid w:val="00556003"/>
    <w:rsid w:val="00556339"/>
    <w:rsid w:val="005568D6"/>
    <w:rsid w:val="00556D1A"/>
    <w:rsid w:val="00556DAC"/>
    <w:rsid w:val="0055736B"/>
    <w:rsid w:val="0056026D"/>
    <w:rsid w:val="00562DBD"/>
    <w:rsid w:val="00565189"/>
    <w:rsid w:val="0056568F"/>
    <w:rsid w:val="00565AED"/>
    <w:rsid w:val="00566905"/>
    <w:rsid w:val="00567039"/>
    <w:rsid w:val="005724D4"/>
    <w:rsid w:val="005738F3"/>
    <w:rsid w:val="00574038"/>
    <w:rsid w:val="00574159"/>
    <w:rsid w:val="00574369"/>
    <w:rsid w:val="005745FC"/>
    <w:rsid w:val="00574C53"/>
    <w:rsid w:val="00575A8D"/>
    <w:rsid w:val="00577B3A"/>
    <w:rsid w:val="00577B41"/>
    <w:rsid w:val="00577B5B"/>
    <w:rsid w:val="005817D6"/>
    <w:rsid w:val="005825F6"/>
    <w:rsid w:val="005829CE"/>
    <w:rsid w:val="005845DA"/>
    <w:rsid w:val="00584889"/>
    <w:rsid w:val="00584AC6"/>
    <w:rsid w:val="0058643F"/>
    <w:rsid w:val="005870C5"/>
    <w:rsid w:val="00591049"/>
    <w:rsid w:val="0059392A"/>
    <w:rsid w:val="0059476C"/>
    <w:rsid w:val="0059491B"/>
    <w:rsid w:val="00594982"/>
    <w:rsid w:val="005950E3"/>
    <w:rsid w:val="00596A36"/>
    <w:rsid w:val="005974F8"/>
    <w:rsid w:val="005A0625"/>
    <w:rsid w:val="005A0A9B"/>
    <w:rsid w:val="005A5D77"/>
    <w:rsid w:val="005B0E38"/>
    <w:rsid w:val="005B2DCE"/>
    <w:rsid w:val="005B3473"/>
    <w:rsid w:val="005B43F4"/>
    <w:rsid w:val="005B4B3A"/>
    <w:rsid w:val="005B4DA2"/>
    <w:rsid w:val="005B56BE"/>
    <w:rsid w:val="005B6AB5"/>
    <w:rsid w:val="005B716B"/>
    <w:rsid w:val="005B775C"/>
    <w:rsid w:val="005C018A"/>
    <w:rsid w:val="005C01CE"/>
    <w:rsid w:val="005C1952"/>
    <w:rsid w:val="005C1C8B"/>
    <w:rsid w:val="005C2775"/>
    <w:rsid w:val="005C2F26"/>
    <w:rsid w:val="005C418B"/>
    <w:rsid w:val="005C4CE9"/>
    <w:rsid w:val="005C4E18"/>
    <w:rsid w:val="005C4F08"/>
    <w:rsid w:val="005C5502"/>
    <w:rsid w:val="005D026A"/>
    <w:rsid w:val="005D0701"/>
    <w:rsid w:val="005D2138"/>
    <w:rsid w:val="005D2879"/>
    <w:rsid w:val="005D5022"/>
    <w:rsid w:val="005D5F1A"/>
    <w:rsid w:val="005D740D"/>
    <w:rsid w:val="005E1787"/>
    <w:rsid w:val="005E1818"/>
    <w:rsid w:val="005E33E9"/>
    <w:rsid w:val="005E3BF2"/>
    <w:rsid w:val="005E4613"/>
    <w:rsid w:val="005E5377"/>
    <w:rsid w:val="005E540F"/>
    <w:rsid w:val="005E59D4"/>
    <w:rsid w:val="005F040F"/>
    <w:rsid w:val="005F144C"/>
    <w:rsid w:val="005F156F"/>
    <w:rsid w:val="005F43F1"/>
    <w:rsid w:val="005F59B8"/>
    <w:rsid w:val="005F7104"/>
    <w:rsid w:val="00600E30"/>
    <w:rsid w:val="0060417B"/>
    <w:rsid w:val="00604392"/>
    <w:rsid w:val="00605012"/>
    <w:rsid w:val="006057F4"/>
    <w:rsid w:val="00606445"/>
    <w:rsid w:val="0061306D"/>
    <w:rsid w:val="00613945"/>
    <w:rsid w:val="00614597"/>
    <w:rsid w:val="006175D9"/>
    <w:rsid w:val="00620D6F"/>
    <w:rsid w:val="0062130E"/>
    <w:rsid w:val="00622562"/>
    <w:rsid w:val="00622FC1"/>
    <w:rsid w:val="0062472D"/>
    <w:rsid w:val="00625D2E"/>
    <w:rsid w:val="00627C13"/>
    <w:rsid w:val="00636216"/>
    <w:rsid w:val="006400A4"/>
    <w:rsid w:val="0064040A"/>
    <w:rsid w:val="006409DB"/>
    <w:rsid w:val="00641667"/>
    <w:rsid w:val="0064201E"/>
    <w:rsid w:val="00642CA6"/>
    <w:rsid w:val="00642F70"/>
    <w:rsid w:val="00643B17"/>
    <w:rsid w:val="00645344"/>
    <w:rsid w:val="00647326"/>
    <w:rsid w:val="006478A7"/>
    <w:rsid w:val="006520F9"/>
    <w:rsid w:val="00652596"/>
    <w:rsid w:val="0065260F"/>
    <w:rsid w:val="00652E86"/>
    <w:rsid w:val="00654C55"/>
    <w:rsid w:val="00655439"/>
    <w:rsid w:val="006562D9"/>
    <w:rsid w:val="006562F6"/>
    <w:rsid w:val="00660B2E"/>
    <w:rsid w:val="00662411"/>
    <w:rsid w:val="006642A2"/>
    <w:rsid w:val="00665BC5"/>
    <w:rsid w:val="0066770C"/>
    <w:rsid w:val="00671814"/>
    <w:rsid w:val="006740E2"/>
    <w:rsid w:val="0067512B"/>
    <w:rsid w:val="006768F9"/>
    <w:rsid w:val="00676B29"/>
    <w:rsid w:val="00677486"/>
    <w:rsid w:val="00680256"/>
    <w:rsid w:val="00680B2B"/>
    <w:rsid w:val="00681AAC"/>
    <w:rsid w:val="00681AFD"/>
    <w:rsid w:val="00682F94"/>
    <w:rsid w:val="00683AE7"/>
    <w:rsid w:val="00683DAA"/>
    <w:rsid w:val="00684567"/>
    <w:rsid w:val="00684775"/>
    <w:rsid w:val="00684A09"/>
    <w:rsid w:val="00686CA5"/>
    <w:rsid w:val="00687375"/>
    <w:rsid w:val="00687DE8"/>
    <w:rsid w:val="00690FFA"/>
    <w:rsid w:val="00692616"/>
    <w:rsid w:val="00692820"/>
    <w:rsid w:val="00692AED"/>
    <w:rsid w:val="00693C4F"/>
    <w:rsid w:val="0069507A"/>
    <w:rsid w:val="00695365"/>
    <w:rsid w:val="00695507"/>
    <w:rsid w:val="00695D3C"/>
    <w:rsid w:val="00695FF4"/>
    <w:rsid w:val="006965B7"/>
    <w:rsid w:val="006A4588"/>
    <w:rsid w:val="006A7758"/>
    <w:rsid w:val="006B003F"/>
    <w:rsid w:val="006B01FE"/>
    <w:rsid w:val="006B0595"/>
    <w:rsid w:val="006B1BB9"/>
    <w:rsid w:val="006B2618"/>
    <w:rsid w:val="006B40A1"/>
    <w:rsid w:val="006B442C"/>
    <w:rsid w:val="006B4FE4"/>
    <w:rsid w:val="006B5A35"/>
    <w:rsid w:val="006B60D5"/>
    <w:rsid w:val="006B67EF"/>
    <w:rsid w:val="006B6E97"/>
    <w:rsid w:val="006B7210"/>
    <w:rsid w:val="006C2A7D"/>
    <w:rsid w:val="006C368A"/>
    <w:rsid w:val="006C3927"/>
    <w:rsid w:val="006C3D88"/>
    <w:rsid w:val="006C3D9D"/>
    <w:rsid w:val="006C40CC"/>
    <w:rsid w:val="006C4ECE"/>
    <w:rsid w:val="006C5865"/>
    <w:rsid w:val="006C5A35"/>
    <w:rsid w:val="006C5A98"/>
    <w:rsid w:val="006C5B65"/>
    <w:rsid w:val="006D1274"/>
    <w:rsid w:val="006D138D"/>
    <w:rsid w:val="006D29DE"/>
    <w:rsid w:val="006D4985"/>
    <w:rsid w:val="006D4C11"/>
    <w:rsid w:val="006D5A84"/>
    <w:rsid w:val="006D5EE1"/>
    <w:rsid w:val="006D5F00"/>
    <w:rsid w:val="006D6DB6"/>
    <w:rsid w:val="006D7A17"/>
    <w:rsid w:val="006E0392"/>
    <w:rsid w:val="006E2CB1"/>
    <w:rsid w:val="006E2F5F"/>
    <w:rsid w:val="006E40F8"/>
    <w:rsid w:val="006E47FC"/>
    <w:rsid w:val="006E534B"/>
    <w:rsid w:val="006E57F1"/>
    <w:rsid w:val="006E66F8"/>
    <w:rsid w:val="006F07E6"/>
    <w:rsid w:val="006F12AE"/>
    <w:rsid w:val="006F18A6"/>
    <w:rsid w:val="006F1DA7"/>
    <w:rsid w:val="006F2F8E"/>
    <w:rsid w:val="006F5882"/>
    <w:rsid w:val="006F6A47"/>
    <w:rsid w:val="006F6AF7"/>
    <w:rsid w:val="006F6E8E"/>
    <w:rsid w:val="006F7BC2"/>
    <w:rsid w:val="00700017"/>
    <w:rsid w:val="00700253"/>
    <w:rsid w:val="00700453"/>
    <w:rsid w:val="00700D82"/>
    <w:rsid w:val="007015FE"/>
    <w:rsid w:val="007016C5"/>
    <w:rsid w:val="007022B5"/>
    <w:rsid w:val="00702B1A"/>
    <w:rsid w:val="0070464C"/>
    <w:rsid w:val="00705528"/>
    <w:rsid w:val="00705D1E"/>
    <w:rsid w:val="0070611E"/>
    <w:rsid w:val="00706D3A"/>
    <w:rsid w:val="00707984"/>
    <w:rsid w:val="00707C97"/>
    <w:rsid w:val="00710587"/>
    <w:rsid w:val="007122E1"/>
    <w:rsid w:val="007127CF"/>
    <w:rsid w:val="00712D29"/>
    <w:rsid w:val="00712DA2"/>
    <w:rsid w:val="00714841"/>
    <w:rsid w:val="0071494E"/>
    <w:rsid w:val="00714B33"/>
    <w:rsid w:val="007158FF"/>
    <w:rsid w:val="00716105"/>
    <w:rsid w:val="00717534"/>
    <w:rsid w:val="00720325"/>
    <w:rsid w:val="00722090"/>
    <w:rsid w:val="00723531"/>
    <w:rsid w:val="00724A8F"/>
    <w:rsid w:val="007265FB"/>
    <w:rsid w:val="00726622"/>
    <w:rsid w:val="00730741"/>
    <w:rsid w:val="007326F9"/>
    <w:rsid w:val="00734496"/>
    <w:rsid w:val="00734E34"/>
    <w:rsid w:val="00735D7A"/>
    <w:rsid w:val="0073674F"/>
    <w:rsid w:val="007405A0"/>
    <w:rsid w:val="007435EE"/>
    <w:rsid w:val="007468E3"/>
    <w:rsid w:val="007473E4"/>
    <w:rsid w:val="00750155"/>
    <w:rsid w:val="00751869"/>
    <w:rsid w:val="00751CA9"/>
    <w:rsid w:val="00751DC9"/>
    <w:rsid w:val="007520EE"/>
    <w:rsid w:val="00753225"/>
    <w:rsid w:val="00754087"/>
    <w:rsid w:val="007546EA"/>
    <w:rsid w:val="00754DF1"/>
    <w:rsid w:val="00755BE9"/>
    <w:rsid w:val="00757329"/>
    <w:rsid w:val="007642F1"/>
    <w:rsid w:val="00766456"/>
    <w:rsid w:val="0076668B"/>
    <w:rsid w:val="0076766F"/>
    <w:rsid w:val="007709C1"/>
    <w:rsid w:val="00770BF3"/>
    <w:rsid w:val="007712B8"/>
    <w:rsid w:val="007716DB"/>
    <w:rsid w:val="00771E80"/>
    <w:rsid w:val="00773A19"/>
    <w:rsid w:val="00774488"/>
    <w:rsid w:val="007744B9"/>
    <w:rsid w:val="00774B30"/>
    <w:rsid w:val="00776A77"/>
    <w:rsid w:val="007773AA"/>
    <w:rsid w:val="00781E4F"/>
    <w:rsid w:val="00782668"/>
    <w:rsid w:val="00783786"/>
    <w:rsid w:val="007848CA"/>
    <w:rsid w:val="0078545F"/>
    <w:rsid w:val="00786245"/>
    <w:rsid w:val="007868B3"/>
    <w:rsid w:val="0078704F"/>
    <w:rsid w:val="0078763D"/>
    <w:rsid w:val="007915B1"/>
    <w:rsid w:val="00791984"/>
    <w:rsid w:val="007944D7"/>
    <w:rsid w:val="00794E42"/>
    <w:rsid w:val="00795694"/>
    <w:rsid w:val="0079604C"/>
    <w:rsid w:val="00796EF4"/>
    <w:rsid w:val="00797454"/>
    <w:rsid w:val="007A0AA4"/>
    <w:rsid w:val="007A138D"/>
    <w:rsid w:val="007A2F67"/>
    <w:rsid w:val="007A3F80"/>
    <w:rsid w:val="007A5A4A"/>
    <w:rsid w:val="007A608C"/>
    <w:rsid w:val="007A7947"/>
    <w:rsid w:val="007A7D4E"/>
    <w:rsid w:val="007B0E88"/>
    <w:rsid w:val="007B1E96"/>
    <w:rsid w:val="007B4FD1"/>
    <w:rsid w:val="007B7363"/>
    <w:rsid w:val="007C2149"/>
    <w:rsid w:val="007C277E"/>
    <w:rsid w:val="007C2B5D"/>
    <w:rsid w:val="007C38AE"/>
    <w:rsid w:val="007C516B"/>
    <w:rsid w:val="007C537C"/>
    <w:rsid w:val="007C595B"/>
    <w:rsid w:val="007C74A6"/>
    <w:rsid w:val="007D2011"/>
    <w:rsid w:val="007D2C59"/>
    <w:rsid w:val="007D32E8"/>
    <w:rsid w:val="007D3DCF"/>
    <w:rsid w:val="007D453B"/>
    <w:rsid w:val="007D5DC8"/>
    <w:rsid w:val="007D669E"/>
    <w:rsid w:val="007D6A14"/>
    <w:rsid w:val="007D6B63"/>
    <w:rsid w:val="007E1273"/>
    <w:rsid w:val="007E1275"/>
    <w:rsid w:val="007E1D70"/>
    <w:rsid w:val="007E22CF"/>
    <w:rsid w:val="007E2D10"/>
    <w:rsid w:val="007E4214"/>
    <w:rsid w:val="007E42E6"/>
    <w:rsid w:val="007E42E7"/>
    <w:rsid w:val="007E5A9B"/>
    <w:rsid w:val="007E69E7"/>
    <w:rsid w:val="007E7EBB"/>
    <w:rsid w:val="007E7F3C"/>
    <w:rsid w:val="007F016C"/>
    <w:rsid w:val="007F0EA4"/>
    <w:rsid w:val="007F3431"/>
    <w:rsid w:val="007F3872"/>
    <w:rsid w:val="007F4053"/>
    <w:rsid w:val="007F474D"/>
    <w:rsid w:val="007F5438"/>
    <w:rsid w:val="007F709F"/>
    <w:rsid w:val="007F7329"/>
    <w:rsid w:val="007F772D"/>
    <w:rsid w:val="007F7769"/>
    <w:rsid w:val="0080085C"/>
    <w:rsid w:val="00801714"/>
    <w:rsid w:val="008021F2"/>
    <w:rsid w:val="00802EC0"/>
    <w:rsid w:val="00803289"/>
    <w:rsid w:val="008046F5"/>
    <w:rsid w:val="00806745"/>
    <w:rsid w:val="00810827"/>
    <w:rsid w:val="00810876"/>
    <w:rsid w:val="00810D2A"/>
    <w:rsid w:val="008116BE"/>
    <w:rsid w:val="008116E1"/>
    <w:rsid w:val="008122B2"/>
    <w:rsid w:val="0081255A"/>
    <w:rsid w:val="00812E25"/>
    <w:rsid w:val="00813818"/>
    <w:rsid w:val="0081589F"/>
    <w:rsid w:val="00817FA1"/>
    <w:rsid w:val="00820169"/>
    <w:rsid w:val="00821455"/>
    <w:rsid w:val="0082412E"/>
    <w:rsid w:val="0082518A"/>
    <w:rsid w:val="00826233"/>
    <w:rsid w:val="008265C7"/>
    <w:rsid w:val="008267B1"/>
    <w:rsid w:val="0082739E"/>
    <w:rsid w:val="00827BDC"/>
    <w:rsid w:val="00827F56"/>
    <w:rsid w:val="00830D08"/>
    <w:rsid w:val="00833FEF"/>
    <w:rsid w:val="00834547"/>
    <w:rsid w:val="0083481A"/>
    <w:rsid w:val="00834C46"/>
    <w:rsid w:val="00835C2F"/>
    <w:rsid w:val="00836760"/>
    <w:rsid w:val="00836C7E"/>
    <w:rsid w:val="00836ED8"/>
    <w:rsid w:val="00837EEE"/>
    <w:rsid w:val="008414B0"/>
    <w:rsid w:val="0084259E"/>
    <w:rsid w:val="00842B56"/>
    <w:rsid w:val="008447C5"/>
    <w:rsid w:val="008452D7"/>
    <w:rsid w:val="00845B92"/>
    <w:rsid w:val="008462C4"/>
    <w:rsid w:val="008467A3"/>
    <w:rsid w:val="00846811"/>
    <w:rsid w:val="00846915"/>
    <w:rsid w:val="00846C73"/>
    <w:rsid w:val="008472BD"/>
    <w:rsid w:val="0085086D"/>
    <w:rsid w:val="00855075"/>
    <w:rsid w:val="00855673"/>
    <w:rsid w:val="00855B26"/>
    <w:rsid w:val="00862652"/>
    <w:rsid w:val="00863EB8"/>
    <w:rsid w:val="00864255"/>
    <w:rsid w:val="00864E98"/>
    <w:rsid w:val="00865B7A"/>
    <w:rsid w:val="0086670A"/>
    <w:rsid w:val="00870E10"/>
    <w:rsid w:val="00871505"/>
    <w:rsid w:val="00871EEA"/>
    <w:rsid w:val="00872AA7"/>
    <w:rsid w:val="008744F5"/>
    <w:rsid w:val="00875736"/>
    <w:rsid w:val="00875F4F"/>
    <w:rsid w:val="008765E2"/>
    <w:rsid w:val="00876F12"/>
    <w:rsid w:val="00880CF7"/>
    <w:rsid w:val="00881126"/>
    <w:rsid w:val="008811CC"/>
    <w:rsid w:val="0088401C"/>
    <w:rsid w:val="008846FF"/>
    <w:rsid w:val="00887DBB"/>
    <w:rsid w:val="00890CB4"/>
    <w:rsid w:val="00892173"/>
    <w:rsid w:val="00892534"/>
    <w:rsid w:val="00892597"/>
    <w:rsid w:val="00893FAC"/>
    <w:rsid w:val="00894B9F"/>
    <w:rsid w:val="00894E49"/>
    <w:rsid w:val="00894F0D"/>
    <w:rsid w:val="00896621"/>
    <w:rsid w:val="0089681E"/>
    <w:rsid w:val="0089704E"/>
    <w:rsid w:val="008A175E"/>
    <w:rsid w:val="008A30C6"/>
    <w:rsid w:val="008A319B"/>
    <w:rsid w:val="008A3A85"/>
    <w:rsid w:val="008A4E20"/>
    <w:rsid w:val="008A61B7"/>
    <w:rsid w:val="008A642F"/>
    <w:rsid w:val="008A7536"/>
    <w:rsid w:val="008A7C14"/>
    <w:rsid w:val="008A7CA6"/>
    <w:rsid w:val="008B055A"/>
    <w:rsid w:val="008B067B"/>
    <w:rsid w:val="008B0F83"/>
    <w:rsid w:val="008B1029"/>
    <w:rsid w:val="008B2E7F"/>
    <w:rsid w:val="008B2EE2"/>
    <w:rsid w:val="008B5245"/>
    <w:rsid w:val="008B5FB7"/>
    <w:rsid w:val="008B65DA"/>
    <w:rsid w:val="008B6A27"/>
    <w:rsid w:val="008B6A62"/>
    <w:rsid w:val="008B72AC"/>
    <w:rsid w:val="008B76D0"/>
    <w:rsid w:val="008C06FA"/>
    <w:rsid w:val="008C15E5"/>
    <w:rsid w:val="008C22C6"/>
    <w:rsid w:val="008C3CCD"/>
    <w:rsid w:val="008C5279"/>
    <w:rsid w:val="008D1B50"/>
    <w:rsid w:val="008D1B97"/>
    <w:rsid w:val="008D2D72"/>
    <w:rsid w:val="008D38B1"/>
    <w:rsid w:val="008D39FB"/>
    <w:rsid w:val="008D5CF7"/>
    <w:rsid w:val="008D661C"/>
    <w:rsid w:val="008D6A82"/>
    <w:rsid w:val="008D79C1"/>
    <w:rsid w:val="008D7FFB"/>
    <w:rsid w:val="008E01DA"/>
    <w:rsid w:val="008E0B54"/>
    <w:rsid w:val="008E2D60"/>
    <w:rsid w:val="008E4147"/>
    <w:rsid w:val="008E4C39"/>
    <w:rsid w:val="008E4D79"/>
    <w:rsid w:val="008E5093"/>
    <w:rsid w:val="008E5291"/>
    <w:rsid w:val="008E5952"/>
    <w:rsid w:val="008E6892"/>
    <w:rsid w:val="008E7209"/>
    <w:rsid w:val="008E7C67"/>
    <w:rsid w:val="008F1055"/>
    <w:rsid w:val="008F166F"/>
    <w:rsid w:val="008F1AB1"/>
    <w:rsid w:val="008F24EB"/>
    <w:rsid w:val="008F2F63"/>
    <w:rsid w:val="008F481B"/>
    <w:rsid w:val="008F4D89"/>
    <w:rsid w:val="008F628A"/>
    <w:rsid w:val="008F68AE"/>
    <w:rsid w:val="009025C9"/>
    <w:rsid w:val="0090358F"/>
    <w:rsid w:val="00903F0D"/>
    <w:rsid w:val="009050FC"/>
    <w:rsid w:val="0090544A"/>
    <w:rsid w:val="00905D25"/>
    <w:rsid w:val="00911D56"/>
    <w:rsid w:val="00911DD5"/>
    <w:rsid w:val="009136FD"/>
    <w:rsid w:val="0091415D"/>
    <w:rsid w:val="00914498"/>
    <w:rsid w:val="009151EE"/>
    <w:rsid w:val="0091531C"/>
    <w:rsid w:val="00917859"/>
    <w:rsid w:val="00920520"/>
    <w:rsid w:val="009207E1"/>
    <w:rsid w:val="00921381"/>
    <w:rsid w:val="009215FD"/>
    <w:rsid w:val="00921685"/>
    <w:rsid w:val="00922469"/>
    <w:rsid w:val="00922B1D"/>
    <w:rsid w:val="00930E88"/>
    <w:rsid w:val="00932AAB"/>
    <w:rsid w:val="009333B6"/>
    <w:rsid w:val="00933B75"/>
    <w:rsid w:val="009340F7"/>
    <w:rsid w:val="0093559B"/>
    <w:rsid w:val="009364CE"/>
    <w:rsid w:val="00940756"/>
    <w:rsid w:val="00940CF7"/>
    <w:rsid w:val="00941D6A"/>
    <w:rsid w:val="00941E0F"/>
    <w:rsid w:val="009422C3"/>
    <w:rsid w:val="00944C04"/>
    <w:rsid w:val="00945D48"/>
    <w:rsid w:val="00945F44"/>
    <w:rsid w:val="009465D6"/>
    <w:rsid w:val="00951A3C"/>
    <w:rsid w:val="00951C89"/>
    <w:rsid w:val="00951DED"/>
    <w:rsid w:val="00951E97"/>
    <w:rsid w:val="009536DE"/>
    <w:rsid w:val="00953ACD"/>
    <w:rsid w:val="00956225"/>
    <w:rsid w:val="00961D68"/>
    <w:rsid w:val="0096256B"/>
    <w:rsid w:val="00964A13"/>
    <w:rsid w:val="00964FCB"/>
    <w:rsid w:val="00964FEF"/>
    <w:rsid w:val="009652AD"/>
    <w:rsid w:val="00967D73"/>
    <w:rsid w:val="00970158"/>
    <w:rsid w:val="009707E6"/>
    <w:rsid w:val="00971089"/>
    <w:rsid w:val="009711A2"/>
    <w:rsid w:val="009719C4"/>
    <w:rsid w:val="009730B8"/>
    <w:rsid w:val="00973609"/>
    <w:rsid w:val="0097385B"/>
    <w:rsid w:val="009746F3"/>
    <w:rsid w:val="00976B0B"/>
    <w:rsid w:val="00977912"/>
    <w:rsid w:val="00981D0D"/>
    <w:rsid w:val="00982292"/>
    <w:rsid w:val="009824B6"/>
    <w:rsid w:val="0098266A"/>
    <w:rsid w:val="00982AFE"/>
    <w:rsid w:val="00983807"/>
    <w:rsid w:val="009840BB"/>
    <w:rsid w:val="009853DD"/>
    <w:rsid w:val="009868F5"/>
    <w:rsid w:val="00987C6D"/>
    <w:rsid w:val="00990688"/>
    <w:rsid w:val="00990EC2"/>
    <w:rsid w:val="009914CF"/>
    <w:rsid w:val="0099162F"/>
    <w:rsid w:val="009928B4"/>
    <w:rsid w:val="00995784"/>
    <w:rsid w:val="00996DA1"/>
    <w:rsid w:val="009A05BE"/>
    <w:rsid w:val="009A0A30"/>
    <w:rsid w:val="009A0B5C"/>
    <w:rsid w:val="009A0F3B"/>
    <w:rsid w:val="009A159C"/>
    <w:rsid w:val="009A18E4"/>
    <w:rsid w:val="009A4264"/>
    <w:rsid w:val="009A486E"/>
    <w:rsid w:val="009A4A70"/>
    <w:rsid w:val="009A54BF"/>
    <w:rsid w:val="009A5A1E"/>
    <w:rsid w:val="009A63AE"/>
    <w:rsid w:val="009A695C"/>
    <w:rsid w:val="009A6DED"/>
    <w:rsid w:val="009A75FA"/>
    <w:rsid w:val="009B026E"/>
    <w:rsid w:val="009B1AF7"/>
    <w:rsid w:val="009B1EA3"/>
    <w:rsid w:val="009B24C1"/>
    <w:rsid w:val="009B54CA"/>
    <w:rsid w:val="009B57D5"/>
    <w:rsid w:val="009B720A"/>
    <w:rsid w:val="009B7674"/>
    <w:rsid w:val="009B7C4E"/>
    <w:rsid w:val="009C00D8"/>
    <w:rsid w:val="009C024A"/>
    <w:rsid w:val="009C04FB"/>
    <w:rsid w:val="009C09EF"/>
    <w:rsid w:val="009C0B52"/>
    <w:rsid w:val="009C19AB"/>
    <w:rsid w:val="009C2C41"/>
    <w:rsid w:val="009C2D71"/>
    <w:rsid w:val="009C3976"/>
    <w:rsid w:val="009C3AC8"/>
    <w:rsid w:val="009C4140"/>
    <w:rsid w:val="009C4DE7"/>
    <w:rsid w:val="009C69F6"/>
    <w:rsid w:val="009C76B8"/>
    <w:rsid w:val="009D09E5"/>
    <w:rsid w:val="009D0A72"/>
    <w:rsid w:val="009D1F7E"/>
    <w:rsid w:val="009D24CB"/>
    <w:rsid w:val="009D299D"/>
    <w:rsid w:val="009D3C10"/>
    <w:rsid w:val="009D449A"/>
    <w:rsid w:val="009D4A7D"/>
    <w:rsid w:val="009D62D4"/>
    <w:rsid w:val="009D67D5"/>
    <w:rsid w:val="009D7F5E"/>
    <w:rsid w:val="009E0854"/>
    <w:rsid w:val="009E1B75"/>
    <w:rsid w:val="009E34B3"/>
    <w:rsid w:val="009E438C"/>
    <w:rsid w:val="009E4750"/>
    <w:rsid w:val="009E6B20"/>
    <w:rsid w:val="009E6E2D"/>
    <w:rsid w:val="009E6E46"/>
    <w:rsid w:val="009F0038"/>
    <w:rsid w:val="009F006B"/>
    <w:rsid w:val="009F020E"/>
    <w:rsid w:val="009F0518"/>
    <w:rsid w:val="009F165D"/>
    <w:rsid w:val="009F2E27"/>
    <w:rsid w:val="009F3E5A"/>
    <w:rsid w:val="009F48AE"/>
    <w:rsid w:val="009F5205"/>
    <w:rsid w:val="009F532D"/>
    <w:rsid w:val="009F57D3"/>
    <w:rsid w:val="009F6012"/>
    <w:rsid w:val="009F62E9"/>
    <w:rsid w:val="009F7097"/>
    <w:rsid w:val="009F7776"/>
    <w:rsid w:val="009F780F"/>
    <w:rsid w:val="009F7915"/>
    <w:rsid w:val="00A0245B"/>
    <w:rsid w:val="00A04BE1"/>
    <w:rsid w:val="00A054AA"/>
    <w:rsid w:val="00A05877"/>
    <w:rsid w:val="00A072CE"/>
    <w:rsid w:val="00A07512"/>
    <w:rsid w:val="00A10011"/>
    <w:rsid w:val="00A125C6"/>
    <w:rsid w:val="00A132E3"/>
    <w:rsid w:val="00A14081"/>
    <w:rsid w:val="00A17009"/>
    <w:rsid w:val="00A17980"/>
    <w:rsid w:val="00A22615"/>
    <w:rsid w:val="00A22AC1"/>
    <w:rsid w:val="00A253FE"/>
    <w:rsid w:val="00A25CDF"/>
    <w:rsid w:val="00A2725B"/>
    <w:rsid w:val="00A30F83"/>
    <w:rsid w:val="00A33083"/>
    <w:rsid w:val="00A335E2"/>
    <w:rsid w:val="00A34CEF"/>
    <w:rsid w:val="00A3556B"/>
    <w:rsid w:val="00A36D93"/>
    <w:rsid w:val="00A4034B"/>
    <w:rsid w:val="00A4066D"/>
    <w:rsid w:val="00A44D18"/>
    <w:rsid w:val="00A452E8"/>
    <w:rsid w:val="00A453D4"/>
    <w:rsid w:val="00A469BB"/>
    <w:rsid w:val="00A472BC"/>
    <w:rsid w:val="00A5087E"/>
    <w:rsid w:val="00A50B1B"/>
    <w:rsid w:val="00A52829"/>
    <w:rsid w:val="00A52C8D"/>
    <w:rsid w:val="00A5303E"/>
    <w:rsid w:val="00A56A28"/>
    <w:rsid w:val="00A57157"/>
    <w:rsid w:val="00A57C4D"/>
    <w:rsid w:val="00A6236D"/>
    <w:rsid w:val="00A62C72"/>
    <w:rsid w:val="00A63648"/>
    <w:rsid w:val="00A63A27"/>
    <w:rsid w:val="00A645D5"/>
    <w:rsid w:val="00A66243"/>
    <w:rsid w:val="00A66559"/>
    <w:rsid w:val="00A70539"/>
    <w:rsid w:val="00A709F9"/>
    <w:rsid w:val="00A71026"/>
    <w:rsid w:val="00A715DB"/>
    <w:rsid w:val="00A71A74"/>
    <w:rsid w:val="00A71E7F"/>
    <w:rsid w:val="00A73B91"/>
    <w:rsid w:val="00A73DA7"/>
    <w:rsid w:val="00A748BD"/>
    <w:rsid w:val="00A75707"/>
    <w:rsid w:val="00A76660"/>
    <w:rsid w:val="00A76EA1"/>
    <w:rsid w:val="00A77684"/>
    <w:rsid w:val="00A80750"/>
    <w:rsid w:val="00A85F69"/>
    <w:rsid w:val="00A86439"/>
    <w:rsid w:val="00A87779"/>
    <w:rsid w:val="00A90AD2"/>
    <w:rsid w:val="00A91416"/>
    <w:rsid w:val="00A9157F"/>
    <w:rsid w:val="00A920BE"/>
    <w:rsid w:val="00A92A31"/>
    <w:rsid w:val="00A92B84"/>
    <w:rsid w:val="00A9379A"/>
    <w:rsid w:val="00A93D2E"/>
    <w:rsid w:val="00A94B4E"/>
    <w:rsid w:val="00A96C97"/>
    <w:rsid w:val="00AA05D7"/>
    <w:rsid w:val="00AA0D26"/>
    <w:rsid w:val="00AA1D75"/>
    <w:rsid w:val="00AA20F9"/>
    <w:rsid w:val="00AA241B"/>
    <w:rsid w:val="00AA3EC7"/>
    <w:rsid w:val="00AA47E8"/>
    <w:rsid w:val="00AA53F3"/>
    <w:rsid w:val="00AA6AB3"/>
    <w:rsid w:val="00AA6D42"/>
    <w:rsid w:val="00AA6F27"/>
    <w:rsid w:val="00AA728F"/>
    <w:rsid w:val="00AA756C"/>
    <w:rsid w:val="00AB011D"/>
    <w:rsid w:val="00AB0296"/>
    <w:rsid w:val="00AB0B39"/>
    <w:rsid w:val="00AB2ED4"/>
    <w:rsid w:val="00AB322E"/>
    <w:rsid w:val="00AB3589"/>
    <w:rsid w:val="00AB3CB1"/>
    <w:rsid w:val="00AB4C07"/>
    <w:rsid w:val="00AB63C3"/>
    <w:rsid w:val="00AB64AD"/>
    <w:rsid w:val="00AB65B7"/>
    <w:rsid w:val="00AB7183"/>
    <w:rsid w:val="00AB759D"/>
    <w:rsid w:val="00AB7751"/>
    <w:rsid w:val="00AC0CEF"/>
    <w:rsid w:val="00AC13AE"/>
    <w:rsid w:val="00AC20ED"/>
    <w:rsid w:val="00AC23C4"/>
    <w:rsid w:val="00AC27DF"/>
    <w:rsid w:val="00AC3533"/>
    <w:rsid w:val="00AC3A34"/>
    <w:rsid w:val="00AC465F"/>
    <w:rsid w:val="00AC4B55"/>
    <w:rsid w:val="00AD1CBB"/>
    <w:rsid w:val="00AD28BB"/>
    <w:rsid w:val="00AD33D0"/>
    <w:rsid w:val="00AD38DF"/>
    <w:rsid w:val="00AD3A00"/>
    <w:rsid w:val="00AD405C"/>
    <w:rsid w:val="00AD4650"/>
    <w:rsid w:val="00AD7B43"/>
    <w:rsid w:val="00AE0947"/>
    <w:rsid w:val="00AE0A68"/>
    <w:rsid w:val="00AE0CD5"/>
    <w:rsid w:val="00AE0FDD"/>
    <w:rsid w:val="00AE12A2"/>
    <w:rsid w:val="00AE12AC"/>
    <w:rsid w:val="00AE1C66"/>
    <w:rsid w:val="00AE3748"/>
    <w:rsid w:val="00AE46FF"/>
    <w:rsid w:val="00AE4880"/>
    <w:rsid w:val="00AE4D8E"/>
    <w:rsid w:val="00AE6DC9"/>
    <w:rsid w:val="00AE722E"/>
    <w:rsid w:val="00AF10F4"/>
    <w:rsid w:val="00AF134E"/>
    <w:rsid w:val="00AF1FAF"/>
    <w:rsid w:val="00AF3064"/>
    <w:rsid w:val="00AF4DCE"/>
    <w:rsid w:val="00AF6535"/>
    <w:rsid w:val="00AF68B5"/>
    <w:rsid w:val="00AF7C82"/>
    <w:rsid w:val="00B02460"/>
    <w:rsid w:val="00B0310B"/>
    <w:rsid w:val="00B04332"/>
    <w:rsid w:val="00B0497E"/>
    <w:rsid w:val="00B0507E"/>
    <w:rsid w:val="00B05AF3"/>
    <w:rsid w:val="00B07410"/>
    <w:rsid w:val="00B07846"/>
    <w:rsid w:val="00B107A9"/>
    <w:rsid w:val="00B111C6"/>
    <w:rsid w:val="00B11840"/>
    <w:rsid w:val="00B11C30"/>
    <w:rsid w:val="00B13C1E"/>
    <w:rsid w:val="00B15C3F"/>
    <w:rsid w:val="00B20874"/>
    <w:rsid w:val="00B231CC"/>
    <w:rsid w:val="00B2398E"/>
    <w:rsid w:val="00B239E2"/>
    <w:rsid w:val="00B24333"/>
    <w:rsid w:val="00B24866"/>
    <w:rsid w:val="00B24B80"/>
    <w:rsid w:val="00B24C77"/>
    <w:rsid w:val="00B30DFE"/>
    <w:rsid w:val="00B32AE8"/>
    <w:rsid w:val="00B32DD3"/>
    <w:rsid w:val="00B33CC5"/>
    <w:rsid w:val="00B33F36"/>
    <w:rsid w:val="00B340A9"/>
    <w:rsid w:val="00B342C2"/>
    <w:rsid w:val="00B368EF"/>
    <w:rsid w:val="00B36DAB"/>
    <w:rsid w:val="00B40568"/>
    <w:rsid w:val="00B40693"/>
    <w:rsid w:val="00B41F84"/>
    <w:rsid w:val="00B43837"/>
    <w:rsid w:val="00B4457A"/>
    <w:rsid w:val="00B4591C"/>
    <w:rsid w:val="00B470F6"/>
    <w:rsid w:val="00B52DBC"/>
    <w:rsid w:val="00B54990"/>
    <w:rsid w:val="00B54B58"/>
    <w:rsid w:val="00B56B39"/>
    <w:rsid w:val="00B60A3C"/>
    <w:rsid w:val="00B60FF2"/>
    <w:rsid w:val="00B61606"/>
    <w:rsid w:val="00B62878"/>
    <w:rsid w:val="00B647E5"/>
    <w:rsid w:val="00B64B87"/>
    <w:rsid w:val="00B658B1"/>
    <w:rsid w:val="00B672C3"/>
    <w:rsid w:val="00B740BD"/>
    <w:rsid w:val="00B74A7B"/>
    <w:rsid w:val="00B75483"/>
    <w:rsid w:val="00B77245"/>
    <w:rsid w:val="00B80E2B"/>
    <w:rsid w:val="00B826B4"/>
    <w:rsid w:val="00B8289B"/>
    <w:rsid w:val="00B82C03"/>
    <w:rsid w:val="00B83522"/>
    <w:rsid w:val="00B837E8"/>
    <w:rsid w:val="00B84C0E"/>
    <w:rsid w:val="00B84EF8"/>
    <w:rsid w:val="00B85C81"/>
    <w:rsid w:val="00B85F38"/>
    <w:rsid w:val="00B87870"/>
    <w:rsid w:val="00B9040C"/>
    <w:rsid w:val="00B934D8"/>
    <w:rsid w:val="00B94796"/>
    <w:rsid w:val="00B95903"/>
    <w:rsid w:val="00B95BC3"/>
    <w:rsid w:val="00B96041"/>
    <w:rsid w:val="00B970DC"/>
    <w:rsid w:val="00B9748E"/>
    <w:rsid w:val="00B97F12"/>
    <w:rsid w:val="00B97FB6"/>
    <w:rsid w:val="00BA0211"/>
    <w:rsid w:val="00BA2261"/>
    <w:rsid w:val="00BA4618"/>
    <w:rsid w:val="00BA5B94"/>
    <w:rsid w:val="00BA6515"/>
    <w:rsid w:val="00BA675F"/>
    <w:rsid w:val="00BA6DA7"/>
    <w:rsid w:val="00BB0530"/>
    <w:rsid w:val="00BB1BD0"/>
    <w:rsid w:val="00BB3815"/>
    <w:rsid w:val="00BB51FF"/>
    <w:rsid w:val="00BB5ACA"/>
    <w:rsid w:val="00BB7F23"/>
    <w:rsid w:val="00BC3966"/>
    <w:rsid w:val="00BC47A5"/>
    <w:rsid w:val="00BC6888"/>
    <w:rsid w:val="00BC69CD"/>
    <w:rsid w:val="00BC6FEC"/>
    <w:rsid w:val="00BD0562"/>
    <w:rsid w:val="00BD087D"/>
    <w:rsid w:val="00BD1739"/>
    <w:rsid w:val="00BD2C25"/>
    <w:rsid w:val="00BD48D8"/>
    <w:rsid w:val="00BD4AF7"/>
    <w:rsid w:val="00BD5BEE"/>
    <w:rsid w:val="00BD6369"/>
    <w:rsid w:val="00BD65AB"/>
    <w:rsid w:val="00BD6B6D"/>
    <w:rsid w:val="00BD6BE8"/>
    <w:rsid w:val="00BE1D0C"/>
    <w:rsid w:val="00BE20D7"/>
    <w:rsid w:val="00BE2818"/>
    <w:rsid w:val="00BE2CAA"/>
    <w:rsid w:val="00BE2D3B"/>
    <w:rsid w:val="00BE3FBA"/>
    <w:rsid w:val="00BE4038"/>
    <w:rsid w:val="00BE581C"/>
    <w:rsid w:val="00BE68A6"/>
    <w:rsid w:val="00BE6B6C"/>
    <w:rsid w:val="00BE7749"/>
    <w:rsid w:val="00BF0631"/>
    <w:rsid w:val="00BF06B8"/>
    <w:rsid w:val="00BF070F"/>
    <w:rsid w:val="00BF1830"/>
    <w:rsid w:val="00BF1C08"/>
    <w:rsid w:val="00BF1EE3"/>
    <w:rsid w:val="00BF25C3"/>
    <w:rsid w:val="00BF2A8A"/>
    <w:rsid w:val="00BF332B"/>
    <w:rsid w:val="00BF4CA8"/>
    <w:rsid w:val="00BF567C"/>
    <w:rsid w:val="00BF7753"/>
    <w:rsid w:val="00C011D3"/>
    <w:rsid w:val="00C012B8"/>
    <w:rsid w:val="00C01B04"/>
    <w:rsid w:val="00C02B74"/>
    <w:rsid w:val="00C02E7C"/>
    <w:rsid w:val="00C05227"/>
    <w:rsid w:val="00C06B0A"/>
    <w:rsid w:val="00C1042A"/>
    <w:rsid w:val="00C1058A"/>
    <w:rsid w:val="00C13C78"/>
    <w:rsid w:val="00C143EA"/>
    <w:rsid w:val="00C151BE"/>
    <w:rsid w:val="00C1537A"/>
    <w:rsid w:val="00C158C5"/>
    <w:rsid w:val="00C175F0"/>
    <w:rsid w:val="00C20A4B"/>
    <w:rsid w:val="00C212C2"/>
    <w:rsid w:val="00C22446"/>
    <w:rsid w:val="00C22702"/>
    <w:rsid w:val="00C22E03"/>
    <w:rsid w:val="00C24A52"/>
    <w:rsid w:val="00C2588E"/>
    <w:rsid w:val="00C2703B"/>
    <w:rsid w:val="00C27F2D"/>
    <w:rsid w:val="00C301B1"/>
    <w:rsid w:val="00C31574"/>
    <w:rsid w:val="00C318A0"/>
    <w:rsid w:val="00C31D5A"/>
    <w:rsid w:val="00C3291A"/>
    <w:rsid w:val="00C33990"/>
    <w:rsid w:val="00C3537D"/>
    <w:rsid w:val="00C3552A"/>
    <w:rsid w:val="00C357CE"/>
    <w:rsid w:val="00C35A30"/>
    <w:rsid w:val="00C35F58"/>
    <w:rsid w:val="00C36518"/>
    <w:rsid w:val="00C40D65"/>
    <w:rsid w:val="00C4210F"/>
    <w:rsid w:val="00C44902"/>
    <w:rsid w:val="00C44914"/>
    <w:rsid w:val="00C44EEB"/>
    <w:rsid w:val="00C45E49"/>
    <w:rsid w:val="00C466B7"/>
    <w:rsid w:val="00C46984"/>
    <w:rsid w:val="00C478B8"/>
    <w:rsid w:val="00C5033B"/>
    <w:rsid w:val="00C50B2B"/>
    <w:rsid w:val="00C53BD2"/>
    <w:rsid w:val="00C57990"/>
    <w:rsid w:val="00C602F7"/>
    <w:rsid w:val="00C62753"/>
    <w:rsid w:val="00C62C94"/>
    <w:rsid w:val="00C63932"/>
    <w:rsid w:val="00C63B39"/>
    <w:rsid w:val="00C6430C"/>
    <w:rsid w:val="00C64CF5"/>
    <w:rsid w:val="00C64D60"/>
    <w:rsid w:val="00C64E8E"/>
    <w:rsid w:val="00C657B5"/>
    <w:rsid w:val="00C65A39"/>
    <w:rsid w:val="00C66C5A"/>
    <w:rsid w:val="00C67F1B"/>
    <w:rsid w:val="00C70CAB"/>
    <w:rsid w:val="00C7322C"/>
    <w:rsid w:val="00C762B7"/>
    <w:rsid w:val="00C770E5"/>
    <w:rsid w:val="00C77260"/>
    <w:rsid w:val="00C77DF0"/>
    <w:rsid w:val="00C80DE6"/>
    <w:rsid w:val="00C82192"/>
    <w:rsid w:val="00C82E36"/>
    <w:rsid w:val="00C82FE5"/>
    <w:rsid w:val="00C83051"/>
    <w:rsid w:val="00C83B57"/>
    <w:rsid w:val="00C83B7D"/>
    <w:rsid w:val="00C84093"/>
    <w:rsid w:val="00C842FA"/>
    <w:rsid w:val="00C85188"/>
    <w:rsid w:val="00C85789"/>
    <w:rsid w:val="00C85D6B"/>
    <w:rsid w:val="00C85EDF"/>
    <w:rsid w:val="00C869A7"/>
    <w:rsid w:val="00C878BA"/>
    <w:rsid w:val="00C87BA1"/>
    <w:rsid w:val="00C91D22"/>
    <w:rsid w:val="00C9206B"/>
    <w:rsid w:val="00C930E6"/>
    <w:rsid w:val="00C948A1"/>
    <w:rsid w:val="00C95822"/>
    <w:rsid w:val="00C96350"/>
    <w:rsid w:val="00C964DA"/>
    <w:rsid w:val="00C96D11"/>
    <w:rsid w:val="00C9751A"/>
    <w:rsid w:val="00C978E6"/>
    <w:rsid w:val="00C97A9E"/>
    <w:rsid w:val="00CA156F"/>
    <w:rsid w:val="00CA4BD0"/>
    <w:rsid w:val="00CA5F3D"/>
    <w:rsid w:val="00CA6E12"/>
    <w:rsid w:val="00CA71A2"/>
    <w:rsid w:val="00CB0F93"/>
    <w:rsid w:val="00CB131A"/>
    <w:rsid w:val="00CB3792"/>
    <w:rsid w:val="00CB3975"/>
    <w:rsid w:val="00CB5A23"/>
    <w:rsid w:val="00CB6397"/>
    <w:rsid w:val="00CB64E6"/>
    <w:rsid w:val="00CB69C5"/>
    <w:rsid w:val="00CB6AC4"/>
    <w:rsid w:val="00CB6C41"/>
    <w:rsid w:val="00CB6F91"/>
    <w:rsid w:val="00CB79F4"/>
    <w:rsid w:val="00CC4C17"/>
    <w:rsid w:val="00CD058C"/>
    <w:rsid w:val="00CD0620"/>
    <w:rsid w:val="00CD20C9"/>
    <w:rsid w:val="00CD214E"/>
    <w:rsid w:val="00CD2DF3"/>
    <w:rsid w:val="00CD64EF"/>
    <w:rsid w:val="00CD6670"/>
    <w:rsid w:val="00CD6CD5"/>
    <w:rsid w:val="00CD7632"/>
    <w:rsid w:val="00CE1E67"/>
    <w:rsid w:val="00CE22C0"/>
    <w:rsid w:val="00CE2B1C"/>
    <w:rsid w:val="00CE38DB"/>
    <w:rsid w:val="00CE41E6"/>
    <w:rsid w:val="00CE64A8"/>
    <w:rsid w:val="00CE751A"/>
    <w:rsid w:val="00CE7AB5"/>
    <w:rsid w:val="00CE7C1F"/>
    <w:rsid w:val="00CE7EC9"/>
    <w:rsid w:val="00CF07E2"/>
    <w:rsid w:val="00CF0F87"/>
    <w:rsid w:val="00CF1493"/>
    <w:rsid w:val="00CF14E5"/>
    <w:rsid w:val="00CF2369"/>
    <w:rsid w:val="00CF38A2"/>
    <w:rsid w:val="00CF4D53"/>
    <w:rsid w:val="00CF4E1A"/>
    <w:rsid w:val="00CF7110"/>
    <w:rsid w:val="00CF72F8"/>
    <w:rsid w:val="00D00231"/>
    <w:rsid w:val="00D00ACF"/>
    <w:rsid w:val="00D019C7"/>
    <w:rsid w:val="00D022F7"/>
    <w:rsid w:val="00D038A2"/>
    <w:rsid w:val="00D03CBC"/>
    <w:rsid w:val="00D043AC"/>
    <w:rsid w:val="00D05001"/>
    <w:rsid w:val="00D05080"/>
    <w:rsid w:val="00D05404"/>
    <w:rsid w:val="00D11F49"/>
    <w:rsid w:val="00D12D74"/>
    <w:rsid w:val="00D13346"/>
    <w:rsid w:val="00D1595C"/>
    <w:rsid w:val="00D1697D"/>
    <w:rsid w:val="00D17596"/>
    <w:rsid w:val="00D17956"/>
    <w:rsid w:val="00D17DF2"/>
    <w:rsid w:val="00D20C5E"/>
    <w:rsid w:val="00D20E2A"/>
    <w:rsid w:val="00D22F29"/>
    <w:rsid w:val="00D23C47"/>
    <w:rsid w:val="00D23EA7"/>
    <w:rsid w:val="00D24016"/>
    <w:rsid w:val="00D246D8"/>
    <w:rsid w:val="00D24E71"/>
    <w:rsid w:val="00D25821"/>
    <w:rsid w:val="00D25DEE"/>
    <w:rsid w:val="00D3041E"/>
    <w:rsid w:val="00D32F00"/>
    <w:rsid w:val="00D332B3"/>
    <w:rsid w:val="00D34459"/>
    <w:rsid w:val="00D34E39"/>
    <w:rsid w:val="00D361E9"/>
    <w:rsid w:val="00D36D49"/>
    <w:rsid w:val="00D421F1"/>
    <w:rsid w:val="00D43F02"/>
    <w:rsid w:val="00D445B5"/>
    <w:rsid w:val="00D45536"/>
    <w:rsid w:val="00D45B2D"/>
    <w:rsid w:val="00D474B7"/>
    <w:rsid w:val="00D50BD3"/>
    <w:rsid w:val="00D51283"/>
    <w:rsid w:val="00D51968"/>
    <w:rsid w:val="00D536AB"/>
    <w:rsid w:val="00D53968"/>
    <w:rsid w:val="00D55724"/>
    <w:rsid w:val="00D55863"/>
    <w:rsid w:val="00D55EFC"/>
    <w:rsid w:val="00D56194"/>
    <w:rsid w:val="00D56990"/>
    <w:rsid w:val="00D57161"/>
    <w:rsid w:val="00D57EBF"/>
    <w:rsid w:val="00D600CC"/>
    <w:rsid w:val="00D605DB"/>
    <w:rsid w:val="00D60D08"/>
    <w:rsid w:val="00D61325"/>
    <w:rsid w:val="00D6478B"/>
    <w:rsid w:val="00D658D4"/>
    <w:rsid w:val="00D65FE6"/>
    <w:rsid w:val="00D71257"/>
    <w:rsid w:val="00D71B18"/>
    <w:rsid w:val="00D72EEF"/>
    <w:rsid w:val="00D746C5"/>
    <w:rsid w:val="00D74767"/>
    <w:rsid w:val="00D776FB"/>
    <w:rsid w:val="00D779B7"/>
    <w:rsid w:val="00D801C0"/>
    <w:rsid w:val="00D8048D"/>
    <w:rsid w:val="00D8152D"/>
    <w:rsid w:val="00D82815"/>
    <w:rsid w:val="00D83A66"/>
    <w:rsid w:val="00D841E0"/>
    <w:rsid w:val="00D84F10"/>
    <w:rsid w:val="00D86286"/>
    <w:rsid w:val="00D875EF"/>
    <w:rsid w:val="00D87886"/>
    <w:rsid w:val="00D87F8F"/>
    <w:rsid w:val="00D91AFF"/>
    <w:rsid w:val="00D91B90"/>
    <w:rsid w:val="00D953AC"/>
    <w:rsid w:val="00D97122"/>
    <w:rsid w:val="00D9788B"/>
    <w:rsid w:val="00D97B87"/>
    <w:rsid w:val="00DA0387"/>
    <w:rsid w:val="00DA0495"/>
    <w:rsid w:val="00DA0AFB"/>
    <w:rsid w:val="00DA127D"/>
    <w:rsid w:val="00DA1ECB"/>
    <w:rsid w:val="00DA248F"/>
    <w:rsid w:val="00DA4205"/>
    <w:rsid w:val="00DA52E8"/>
    <w:rsid w:val="00DA5A32"/>
    <w:rsid w:val="00DA7CAF"/>
    <w:rsid w:val="00DB1489"/>
    <w:rsid w:val="00DB14EC"/>
    <w:rsid w:val="00DB1F9A"/>
    <w:rsid w:val="00DB32B9"/>
    <w:rsid w:val="00DC0A86"/>
    <w:rsid w:val="00DC1A06"/>
    <w:rsid w:val="00DC1D84"/>
    <w:rsid w:val="00DC2C49"/>
    <w:rsid w:val="00DC30E2"/>
    <w:rsid w:val="00DC32DC"/>
    <w:rsid w:val="00DC4307"/>
    <w:rsid w:val="00DC49B9"/>
    <w:rsid w:val="00DC6534"/>
    <w:rsid w:val="00DC6994"/>
    <w:rsid w:val="00DC6EE6"/>
    <w:rsid w:val="00DC71FF"/>
    <w:rsid w:val="00DD029F"/>
    <w:rsid w:val="00DD05AF"/>
    <w:rsid w:val="00DD0778"/>
    <w:rsid w:val="00DD0E48"/>
    <w:rsid w:val="00DD0E88"/>
    <w:rsid w:val="00DD1D2A"/>
    <w:rsid w:val="00DD2126"/>
    <w:rsid w:val="00DD2A2C"/>
    <w:rsid w:val="00DD403E"/>
    <w:rsid w:val="00DD4B3F"/>
    <w:rsid w:val="00DD4D2A"/>
    <w:rsid w:val="00DD4F7C"/>
    <w:rsid w:val="00DD553E"/>
    <w:rsid w:val="00DE0F93"/>
    <w:rsid w:val="00DE210C"/>
    <w:rsid w:val="00DE3039"/>
    <w:rsid w:val="00DE4DE3"/>
    <w:rsid w:val="00DE4F29"/>
    <w:rsid w:val="00DE5624"/>
    <w:rsid w:val="00DE78A3"/>
    <w:rsid w:val="00DF01E5"/>
    <w:rsid w:val="00DF078E"/>
    <w:rsid w:val="00DF12C5"/>
    <w:rsid w:val="00DF2648"/>
    <w:rsid w:val="00DF291F"/>
    <w:rsid w:val="00DF447E"/>
    <w:rsid w:val="00DF5838"/>
    <w:rsid w:val="00DF58E3"/>
    <w:rsid w:val="00DF71FF"/>
    <w:rsid w:val="00DF72E4"/>
    <w:rsid w:val="00E01303"/>
    <w:rsid w:val="00E0173A"/>
    <w:rsid w:val="00E03AE8"/>
    <w:rsid w:val="00E03FF6"/>
    <w:rsid w:val="00E043C5"/>
    <w:rsid w:val="00E0557C"/>
    <w:rsid w:val="00E06B52"/>
    <w:rsid w:val="00E0792F"/>
    <w:rsid w:val="00E11FDD"/>
    <w:rsid w:val="00E1225E"/>
    <w:rsid w:val="00E13EFD"/>
    <w:rsid w:val="00E148A8"/>
    <w:rsid w:val="00E150A1"/>
    <w:rsid w:val="00E15AA0"/>
    <w:rsid w:val="00E20145"/>
    <w:rsid w:val="00E20488"/>
    <w:rsid w:val="00E21118"/>
    <w:rsid w:val="00E219B7"/>
    <w:rsid w:val="00E223A9"/>
    <w:rsid w:val="00E227B3"/>
    <w:rsid w:val="00E22BED"/>
    <w:rsid w:val="00E233A8"/>
    <w:rsid w:val="00E252DC"/>
    <w:rsid w:val="00E27104"/>
    <w:rsid w:val="00E2755D"/>
    <w:rsid w:val="00E303D1"/>
    <w:rsid w:val="00E30A56"/>
    <w:rsid w:val="00E311B6"/>
    <w:rsid w:val="00E323F4"/>
    <w:rsid w:val="00E33B79"/>
    <w:rsid w:val="00E340A3"/>
    <w:rsid w:val="00E35737"/>
    <w:rsid w:val="00E37ACC"/>
    <w:rsid w:val="00E41387"/>
    <w:rsid w:val="00E41630"/>
    <w:rsid w:val="00E4328C"/>
    <w:rsid w:val="00E43F2A"/>
    <w:rsid w:val="00E44E89"/>
    <w:rsid w:val="00E460F6"/>
    <w:rsid w:val="00E46DD4"/>
    <w:rsid w:val="00E549E3"/>
    <w:rsid w:val="00E55A5A"/>
    <w:rsid w:val="00E55AD6"/>
    <w:rsid w:val="00E56AFA"/>
    <w:rsid w:val="00E5796C"/>
    <w:rsid w:val="00E57DB1"/>
    <w:rsid w:val="00E6120E"/>
    <w:rsid w:val="00E631F3"/>
    <w:rsid w:val="00E6358F"/>
    <w:rsid w:val="00E63CB4"/>
    <w:rsid w:val="00E64B24"/>
    <w:rsid w:val="00E64DB8"/>
    <w:rsid w:val="00E653B4"/>
    <w:rsid w:val="00E6631D"/>
    <w:rsid w:val="00E6631E"/>
    <w:rsid w:val="00E66672"/>
    <w:rsid w:val="00E67456"/>
    <w:rsid w:val="00E67811"/>
    <w:rsid w:val="00E67C89"/>
    <w:rsid w:val="00E703DF"/>
    <w:rsid w:val="00E704C4"/>
    <w:rsid w:val="00E7088F"/>
    <w:rsid w:val="00E72D18"/>
    <w:rsid w:val="00E731BF"/>
    <w:rsid w:val="00E734BE"/>
    <w:rsid w:val="00E74EF6"/>
    <w:rsid w:val="00E750F9"/>
    <w:rsid w:val="00E758E6"/>
    <w:rsid w:val="00E76266"/>
    <w:rsid w:val="00E77124"/>
    <w:rsid w:val="00E77146"/>
    <w:rsid w:val="00E81BD3"/>
    <w:rsid w:val="00E82490"/>
    <w:rsid w:val="00E82A95"/>
    <w:rsid w:val="00E82FA1"/>
    <w:rsid w:val="00E83427"/>
    <w:rsid w:val="00E836B9"/>
    <w:rsid w:val="00E83814"/>
    <w:rsid w:val="00E83D34"/>
    <w:rsid w:val="00E85A16"/>
    <w:rsid w:val="00E86770"/>
    <w:rsid w:val="00E87711"/>
    <w:rsid w:val="00E87B28"/>
    <w:rsid w:val="00E902A2"/>
    <w:rsid w:val="00E90783"/>
    <w:rsid w:val="00E90E5F"/>
    <w:rsid w:val="00E91661"/>
    <w:rsid w:val="00E9173A"/>
    <w:rsid w:val="00E939F4"/>
    <w:rsid w:val="00E93D4A"/>
    <w:rsid w:val="00EA01B1"/>
    <w:rsid w:val="00EA0721"/>
    <w:rsid w:val="00EA1145"/>
    <w:rsid w:val="00EA14E2"/>
    <w:rsid w:val="00EA1560"/>
    <w:rsid w:val="00EA2608"/>
    <w:rsid w:val="00EA271B"/>
    <w:rsid w:val="00EA28EF"/>
    <w:rsid w:val="00EA60B0"/>
    <w:rsid w:val="00EA7516"/>
    <w:rsid w:val="00EA7542"/>
    <w:rsid w:val="00EA7BED"/>
    <w:rsid w:val="00EB0048"/>
    <w:rsid w:val="00EB1A68"/>
    <w:rsid w:val="00EB1FC7"/>
    <w:rsid w:val="00EB287D"/>
    <w:rsid w:val="00EB42F6"/>
    <w:rsid w:val="00EB4617"/>
    <w:rsid w:val="00EB4865"/>
    <w:rsid w:val="00EB6243"/>
    <w:rsid w:val="00EC15FC"/>
    <w:rsid w:val="00EC27D1"/>
    <w:rsid w:val="00EC3A3A"/>
    <w:rsid w:val="00EC3E19"/>
    <w:rsid w:val="00EC4526"/>
    <w:rsid w:val="00EC577B"/>
    <w:rsid w:val="00EC6319"/>
    <w:rsid w:val="00ED15BE"/>
    <w:rsid w:val="00ED3A87"/>
    <w:rsid w:val="00ED3A92"/>
    <w:rsid w:val="00ED3D36"/>
    <w:rsid w:val="00ED4019"/>
    <w:rsid w:val="00ED469E"/>
    <w:rsid w:val="00ED4F73"/>
    <w:rsid w:val="00ED5AAD"/>
    <w:rsid w:val="00ED798F"/>
    <w:rsid w:val="00EE03B3"/>
    <w:rsid w:val="00EE14EC"/>
    <w:rsid w:val="00EE2027"/>
    <w:rsid w:val="00EE5E08"/>
    <w:rsid w:val="00EE5E09"/>
    <w:rsid w:val="00EF109B"/>
    <w:rsid w:val="00EF18F4"/>
    <w:rsid w:val="00EF336C"/>
    <w:rsid w:val="00EF38CC"/>
    <w:rsid w:val="00EF4CE2"/>
    <w:rsid w:val="00EF6C70"/>
    <w:rsid w:val="00EF76A5"/>
    <w:rsid w:val="00F00535"/>
    <w:rsid w:val="00F02561"/>
    <w:rsid w:val="00F03A86"/>
    <w:rsid w:val="00F03F2A"/>
    <w:rsid w:val="00F04466"/>
    <w:rsid w:val="00F05E67"/>
    <w:rsid w:val="00F06FA1"/>
    <w:rsid w:val="00F07A9A"/>
    <w:rsid w:val="00F114E6"/>
    <w:rsid w:val="00F116E3"/>
    <w:rsid w:val="00F118C0"/>
    <w:rsid w:val="00F11B55"/>
    <w:rsid w:val="00F121B6"/>
    <w:rsid w:val="00F1258B"/>
    <w:rsid w:val="00F12F0B"/>
    <w:rsid w:val="00F1481D"/>
    <w:rsid w:val="00F157B1"/>
    <w:rsid w:val="00F1582F"/>
    <w:rsid w:val="00F159A9"/>
    <w:rsid w:val="00F16038"/>
    <w:rsid w:val="00F167F6"/>
    <w:rsid w:val="00F1709D"/>
    <w:rsid w:val="00F22654"/>
    <w:rsid w:val="00F23CA2"/>
    <w:rsid w:val="00F26045"/>
    <w:rsid w:val="00F27266"/>
    <w:rsid w:val="00F27D63"/>
    <w:rsid w:val="00F3046C"/>
    <w:rsid w:val="00F3130B"/>
    <w:rsid w:val="00F32821"/>
    <w:rsid w:val="00F330D3"/>
    <w:rsid w:val="00F37502"/>
    <w:rsid w:val="00F37564"/>
    <w:rsid w:val="00F37DA1"/>
    <w:rsid w:val="00F40E97"/>
    <w:rsid w:val="00F40FA0"/>
    <w:rsid w:val="00F4137E"/>
    <w:rsid w:val="00F41447"/>
    <w:rsid w:val="00F418B4"/>
    <w:rsid w:val="00F41A56"/>
    <w:rsid w:val="00F42533"/>
    <w:rsid w:val="00F42EF7"/>
    <w:rsid w:val="00F45092"/>
    <w:rsid w:val="00F45E4C"/>
    <w:rsid w:val="00F47577"/>
    <w:rsid w:val="00F50C68"/>
    <w:rsid w:val="00F528BB"/>
    <w:rsid w:val="00F52AF8"/>
    <w:rsid w:val="00F52CDB"/>
    <w:rsid w:val="00F53573"/>
    <w:rsid w:val="00F535E8"/>
    <w:rsid w:val="00F567C7"/>
    <w:rsid w:val="00F56A28"/>
    <w:rsid w:val="00F60003"/>
    <w:rsid w:val="00F60125"/>
    <w:rsid w:val="00F62E9A"/>
    <w:rsid w:val="00F63AD5"/>
    <w:rsid w:val="00F654C3"/>
    <w:rsid w:val="00F65DBD"/>
    <w:rsid w:val="00F702DB"/>
    <w:rsid w:val="00F71462"/>
    <w:rsid w:val="00F732DF"/>
    <w:rsid w:val="00F73B65"/>
    <w:rsid w:val="00F7496A"/>
    <w:rsid w:val="00F75AD2"/>
    <w:rsid w:val="00F80EAF"/>
    <w:rsid w:val="00F81E4C"/>
    <w:rsid w:val="00F82215"/>
    <w:rsid w:val="00F82B51"/>
    <w:rsid w:val="00F8610F"/>
    <w:rsid w:val="00F871E7"/>
    <w:rsid w:val="00F87355"/>
    <w:rsid w:val="00F911DE"/>
    <w:rsid w:val="00F916B6"/>
    <w:rsid w:val="00F91B7A"/>
    <w:rsid w:val="00F9324F"/>
    <w:rsid w:val="00F93629"/>
    <w:rsid w:val="00F93686"/>
    <w:rsid w:val="00F93F51"/>
    <w:rsid w:val="00F94168"/>
    <w:rsid w:val="00F94EB9"/>
    <w:rsid w:val="00F94FE9"/>
    <w:rsid w:val="00F956BD"/>
    <w:rsid w:val="00F96237"/>
    <w:rsid w:val="00F972D5"/>
    <w:rsid w:val="00FA0439"/>
    <w:rsid w:val="00FA0676"/>
    <w:rsid w:val="00FA15AC"/>
    <w:rsid w:val="00FA215E"/>
    <w:rsid w:val="00FA259C"/>
    <w:rsid w:val="00FA31B6"/>
    <w:rsid w:val="00FA3526"/>
    <w:rsid w:val="00FA3C99"/>
    <w:rsid w:val="00FA3F29"/>
    <w:rsid w:val="00FA6047"/>
    <w:rsid w:val="00FA61F2"/>
    <w:rsid w:val="00FA61F5"/>
    <w:rsid w:val="00FA6941"/>
    <w:rsid w:val="00FA6A98"/>
    <w:rsid w:val="00FA6FA3"/>
    <w:rsid w:val="00FB0FB4"/>
    <w:rsid w:val="00FB147F"/>
    <w:rsid w:val="00FB4EA2"/>
    <w:rsid w:val="00FB5963"/>
    <w:rsid w:val="00FB68C9"/>
    <w:rsid w:val="00FC01EF"/>
    <w:rsid w:val="00FC0432"/>
    <w:rsid w:val="00FC0C96"/>
    <w:rsid w:val="00FC10B1"/>
    <w:rsid w:val="00FC17EA"/>
    <w:rsid w:val="00FC27FF"/>
    <w:rsid w:val="00FC3942"/>
    <w:rsid w:val="00FC511B"/>
    <w:rsid w:val="00FC5185"/>
    <w:rsid w:val="00FC5A9E"/>
    <w:rsid w:val="00FD0380"/>
    <w:rsid w:val="00FD0E32"/>
    <w:rsid w:val="00FD1D10"/>
    <w:rsid w:val="00FD2624"/>
    <w:rsid w:val="00FD3D2F"/>
    <w:rsid w:val="00FD5519"/>
    <w:rsid w:val="00FD6C05"/>
    <w:rsid w:val="00FD6E4F"/>
    <w:rsid w:val="00FD7927"/>
    <w:rsid w:val="00FE0DF4"/>
    <w:rsid w:val="00FE2A3B"/>
    <w:rsid w:val="00FE3BB3"/>
    <w:rsid w:val="00FE4E44"/>
    <w:rsid w:val="00FE7992"/>
    <w:rsid w:val="00FF0D53"/>
    <w:rsid w:val="00FF1791"/>
    <w:rsid w:val="00FF1C44"/>
    <w:rsid w:val="00FF2196"/>
    <w:rsid w:val="00FF2E44"/>
    <w:rsid w:val="00FF4946"/>
    <w:rsid w:val="00FF49A1"/>
    <w:rsid w:val="00FF4A7A"/>
    <w:rsid w:val="00FF5D07"/>
    <w:rsid w:val="00FF6250"/>
    <w:rsid w:val="00FF6743"/>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1EBAF"/>
  <w14:defaultImageDpi w14:val="32767"/>
  <w15:chartTrackingRefBased/>
  <w15:docId w15:val="{A1405D9C-F972-DB4C-AFA2-0130B734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33CB"/>
    <w:rPr>
      <w:rFonts w:eastAsiaTheme="minorEastAsia" w:cstheme="minorBidi"/>
      <w:szCs w:val="24"/>
    </w:rPr>
  </w:style>
  <w:style w:type="character" w:styleId="CommentReference">
    <w:name w:val="annotation reference"/>
    <w:basedOn w:val="DefaultParagraphFont"/>
    <w:uiPriority w:val="99"/>
    <w:semiHidden/>
    <w:unhideWhenUsed/>
    <w:rsid w:val="00D57EBF"/>
    <w:rPr>
      <w:sz w:val="16"/>
      <w:szCs w:val="16"/>
    </w:rPr>
  </w:style>
  <w:style w:type="paragraph" w:styleId="CommentText">
    <w:name w:val="annotation text"/>
    <w:basedOn w:val="Normal"/>
    <w:link w:val="CommentTextChar"/>
    <w:uiPriority w:val="99"/>
    <w:unhideWhenUsed/>
    <w:rsid w:val="00D57EBF"/>
    <w:rPr>
      <w:sz w:val="20"/>
    </w:rPr>
  </w:style>
  <w:style w:type="character" w:customStyle="1" w:styleId="CommentTextChar">
    <w:name w:val="Comment Text Char"/>
    <w:basedOn w:val="DefaultParagraphFont"/>
    <w:link w:val="CommentText"/>
    <w:uiPriority w:val="99"/>
    <w:rsid w:val="00D57EBF"/>
    <w:rPr>
      <w:sz w:val="20"/>
    </w:rPr>
  </w:style>
  <w:style w:type="paragraph" w:styleId="CommentSubject">
    <w:name w:val="annotation subject"/>
    <w:basedOn w:val="CommentText"/>
    <w:next w:val="CommentText"/>
    <w:link w:val="CommentSubjectChar"/>
    <w:uiPriority w:val="99"/>
    <w:semiHidden/>
    <w:unhideWhenUsed/>
    <w:rsid w:val="00D57EBF"/>
    <w:rPr>
      <w:b/>
      <w:bCs/>
    </w:rPr>
  </w:style>
  <w:style w:type="character" w:customStyle="1" w:styleId="CommentSubjectChar">
    <w:name w:val="Comment Subject Char"/>
    <w:basedOn w:val="CommentTextChar"/>
    <w:link w:val="CommentSubject"/>
    <w:uiPriority w:val="99"/>
    <w:semiHidden/>
    <w:rsid w:val="00D57EBF"/>
    <w:rPr>
      <w:b/>
      <w:bCs/>
      <w:sz w:val="20"/>
    </w:rPr>
  </w:style>
  <w:style w:type="paragraph" w:styleId="BalloonText">
    <w:name w:val="Balloon Text"/>
    <w:basedOn w:val="Normal"/>
    <w:link w:val="BalloonTextChar"/>
    <w:uiPriority w:val="99"/>
    <w:semiHidden/>
    <w:unhideWhenUsed/>
    <w:rsid w:val="00D57EBF"/>
    <w:rPr>
      <w:sz w:val="18"/>
      <w:szCs w:val="18"/>
    </w:rPr>
  </w:style>
  <w:style w:type="character" w:customStyle="1" w:styleId="BalloonTextChar">
    <w:name w:val="Balloon Text Char"/>
    <w:basedOn w:val="DefaultParagraphFont"/>
    <w:link w:val="BalloonText"/>
    <w:uiPriority w:val="99"/>
    <w:semiHidden/>
    <w:rsid w:val="00D57EBF"/>
    <w:rPr>
      <w:sz w:val="18"/>
      <w:szCs w:val="18"/>
    </w:rPr>
  </w:style>
  <w:style w:type="paragraph" w:styleId="FootnoteText">
    <w:name w:val="footnote text"/>
    <w:basedOn w:val="Normal"/>
    <w:link w:val="FootnoteTextChar"/>
    <w:uiPriority w:val="99"/>
    <w:unhideWhenUsed/>
    <w:rsid w:val="00F4137E"/>
    <w:rPr>
      <w:sz w:val="20"/>
    </w:rPr>
  </w:style>
  <w:style w:type="character" w:customStyle="1" w:styleId="FootnoteTextChar">
    <w:name w:val="Footnote Text Char"/>
    <w:basedOn w:val="DefaultParagraphFont"/>
    <w:link w:val="FootnoteText"/>
    <w:uiPriority w:val="99"/>
    <w:rsid w:val="00F4137E"/>
    <w:rPr>
      <w:sz w:val="20"/>
    </w:rPr>
  </w:style>
  <w:style w:type="character" w:styleId="FootnoteReference">
    <w:name w:val="footnote reference"/>
    <w:basedOn w:val="DefaultParagraphFont"/>
    <w:uiPriority w:val="99"/>
    <w:semiHidden/>
    <w:unhideWhenUsed/>
    <w:rsid w:val="00F4137E"/>
    <w:rPr>
      <w:vertAlign w:val="superscript"/>
    </w:rPr>
  </w:style>
  <w:style w:type="paragraph" w:styleId="ListParagraph">
    <w:name w:val="List Paragraph"/>
    <w:basedOn w:val="Normal"/>
    <w:uiPriority w:val="34"/>
    <w:qFormat/>
    <w:rsid w:val="002C2E9D"/>
    <w:pPr>
      <w:ind w:left="720"/>
      <w:contextualSpacing/>
    </w:pPr>
  </w:style>
  <w:style w:type="paragraph" w:styleId="Header">
    <w:name w:val="header"/>
    <w:basedOn w:val="Normal"/>
    <w:link w:val="HeaderChar"/>
    <w:uiPriority w:val="99"/>
    <w:unhideWhenUsed/>
    <w:rsid w:val="002C4DF9"/>
    <w:pPr>
      <w:tabs>
        <w:tab w:val="center" w:pos="4680"/>
        <w:tab w:val="right" w:pos="9360"/>
      </w:tabs>
    </w:pPr>
  </w:style>
  <w:style w:type="character" w:customStyle="1" w:styleId="HeaderChar">
    <w:name w:val="Header Char"/>
    <w:basedOn w:val="DefaultParagraphFont"/>
    <w:link w:val="Header"/>
    <w:uiPriority w:val="99"/>
    <w:rsid w:val="002C4DF9"/>
  </w:style>
  <w:style w:type="paragraph" w:styleId="Footer">
    <w:name w:val="footer"/>
    <w:basedOn w:val="Normal"/>
    <w:link w:val="FooterChar"/>
    <w:uiPriority w:val="99"/>
    <w:unhideWhenUsed/>
    <w:rsid w:val="002C4DF9"/>
    <w:pPr>
      <w:tabs>
        <w:tab w:val="center" w:pos="4680"/>
        <w:tab w:val="right" w:pos="9360"/>
      </w:tabs>
    </w:pPr>
  </w:style>
  <w:style w:type="character" w:customStyle="1" w:styleId="FooterChar">
    <w:name w:val="Footer Char"/>
    <w:basedOn w:val="DefaultParagraphFont"/>
    <w:link w:val="Footer"/>
    <w:uiPriority w:val="99"/>
    <w:rsid w:val="002C4DF9"/>
  </w:style>
  <w:style w:type="character" w:styleId="PageNumber">
    <w:name w:val="page number"/>
    <w:basedOn w:val="DefaultParagraphFont"/>
    <w:uiPriority w:val="99"/>
    <w:semiHidden/>
    <w:unhideWhenUsed/>
    <w:rsid w:val="002C4DF9"/>
  </w:style>
  <w:style w:type="character" w:customStyle="1" w:styleId="apple-converted-space">
    <w:name w:val="apple-converted-space"/>
    <w:basedOn w:val="DefaultParagraphFont"/>
    <w:rsid w:val="00C602F7"/>
  </w:style>
  <w:style w:type="paragraph" w:styleId="NormalWeb">
    <w:name w:val="Normal (Web)"/>
    <w:basedOn w:val="Normal"/>
    <w:uiPriority w:val="99"/>
    <w:semiHidden/>
    <w:unhideWhenUsed/>
    <w:rsid w:val="009F532D"/>
    <w:rPr>
      <w:szCs w:val="24"/>
    </w:rPr>
  </w:style>
  <w:style w:type="paragraph" w:styleId="Revision">
    <w:name w:val="Revision"/>
    <w:hidden/>
    <w:uiPriority w:val="99"/>
    <w:semiHidden/>
    <w:rsid w:val="008D6A82"/>
  </w:style>
  <w:style w:type="character" w:styleId="Hyperlink">
    <w:name w:val="Hyperlink"/>
    <w:basedOn w:val="DefaultParagraphFont"/>
    <w:uiPriority w:val="99"/>
    <w:unhideWhenUsed/>
    <w:rsid w:val="001C5B08"/>
    <w:rPr>
      <w:color w:val="0563C1" w:themeColor="hyperlink"/>
      <w:u w:val="single"/>
    </w:rPr>
  </w:style>
  <w:style w:type="character" w:styleId="UnresolvedMention">
    <w:name w:val="Unresolved Mention"/>
    <w:basedOn w:val="DefaultParagraphFont"/>
    <w:uiPriority w:val="99"/>
    <w:rsid w:val="0092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480">
      <w:bodyDiv w:val="1"/>
      <w:marLeft w:val="0"/>
      <w:marRight w:val="0"/>
      <w:marTop w:val="0"/>
      <w:marBottom w:val="0"/>
      <w:divBdr>
        <w:top w:val="none" w:sz="0" w:space="0" w:color="auto"/>
        <w:left w:val="none" w:sz="0" w:space="0" w:color="auto"/>
        <w:bottom w:val="none" w:sz="0" w:space="0" w:color="auto"/>
        <w:right w:val="none" w:sz="0" w:space="0" w:color="auto"/>
      </w:divBdr>
    </w:div>
    <w:div w:id="94205139">
      <w:bodyDiv w:val="1"/>
      <w:marLeft w:val="0"/>
      <w:marRight w:val="0"/>
      <w:marTop w:val="0"/>
      <w:marBottom w:val="0"/>
      <w:divBdr>
        <w:top w:val="none" w:sz="0" w:space="0" w:color="auto"/>
        <w:left w:val="none" w:sz="0" w:space="0" w:color="auto"/>
        <w:bottom w:val="none" w:sz="0" w:space="0" w:color="auto"/>
        <w:right w:val="none" w:sz="0" w:space="0" w:color="auto"/>
      </w:divBdr>
      <w:divsChild>
        <w:div w:id="840513716">
          <w:marLeft w:val="274"/>
          <w:marRight w:val="0"/>
          <w:marTop w:val="0"/>
          <w:marBottom w:val="0"/>
          <w:divBdr>
            <w:top w:val="none" w:sz="0" w:space="0" w:color="auto"/>
            <w:left w:val="none" w:sz="0" w:space="0" w:color="auto"/>
            <w:bottom w:val="none" w:sz="0" w:space="0" w:color="auto"/>
            <w:right w:val="none" w:sz="0" w:space="0" w:color="auto"/>
          </w:divBdr>
        </w:div>
        <w:div w:id="1536231109">
          <w:marLeft w:val="994"/>
          <w:marRight w:val="0"/>
          <w:marTop w:val="0"/>
          <w:marBottom w:val="0"/>
          <w:divBdr>
            <w:top w:val="none" w:sz="0" w:space="0" w:color="auto"/>
            <w:left w:val="none" w:sz="0" w:space="0" w:color="auto"/>
            <w:bottom w:val="none" w:sz="0" w:space="0" w:color="auto"/>
            <w:right w:val="none" w:sz="0" w:space="0" w:color="auto"/>
          </w:divBdr>
        </w:div>
        <w:div w:id="1542983372">
          <w:marLeft w:val="994"/>
          <w:marRight w:val="0"/>
          <w:marTop w:val="0"/>
          <w:marBottom w:val="0"/>
          <w:divBdr>
            <w:top w:val="none" w:sz="0" w:space="0" w:color="auto"/>
            <w:left w:val="none" w:sz="0" w:space="0" w:color="auto"/>
            <w:bottom w:val="none" w:sz="0" w:space="0" w:color="auto"/>
            <w:right w:val="none" w:sz="0" w:space="0" w:color="auto"/>
          </w:divBdr>
        </w:div>
        <w:div w:id="269893747">
          <w:marLeft w:val="994"/>
          <w:marRight w:val="0"/>
          <w:marTop w:val="0"/>
          <w:marBottom w:val="0"/>
          <w:divBdr>
            <w:top w:val="none" w:sz="0" w:space="0" w:color="auto"/>
            <w:left w:val="none" w:sz="0" w:space="0" w:color="auto"/>
            <w:bottom w:val="none" w:sz="0" w:space="0" w:color="auto"/>
            <w:right w:val="none" w:sz="0" w:space="0" w:color="auto"/>
          </w:divBdr>
        </w:div>
        <w:div w:id="1031347172">
          <w:marLeft w:val="274"/>
          <w:marRight w:val="0"/>
          <w:marTop w:val="0"/>
          <w:marBottom w:val="0"/>
          <w:divBdr>
            <w:top w:val="none" w:sz="0" w:space="0" w:color="auto"/>
            <w:left w:val="none" w:sz="0" w:space="0" w:color="auto"/>
            <w:bottom w:val="none" w:sz="0" w:space="0" w:color="auto"/>
            <w:right w:val="none" w:sz="0" w:space="0" w:color="auto"/>
          </w:divBdr>
        </w:div>
      </w:divsChild>
    </w:div>
    <w:div w:id="278803022">
      <w:bodyDiv w:val="1"/>
      <w:marLeft w:val="0"/>
      <w:marRight w:val="0"/>
      <w:marTop w:val="0"/>
      <w:marBottom w:val="0"/>
      <w:divBdr>
        <w:top w:val="none" w:sz="0" w:space="0" w:color="auto"/>
        <w:left w:val="none" w:sz="0" w:space="0" w:color="auto"/>
        <w:bottom w:val="none" w:sz="0" w:space="0" w:color="auto"/>
        <w:right w:val="none" w:sz="0" w:space="0" w:color="auto"/>
      </w:divBdr>
    </w:div>
    <w:div w:id="354964712">
      <w:bodyDiv w:val="1"/>
      <w:marLeft w:val="0"/>
      <w:marRight w:val="0"/>
      <w:marTop w:val="0"/>
      <w:marBottom w:val="0"/>
      <w:divBdr>
        <w:top w:val="none" w:sz="0" w:space="0" w:color="auto"/>
        <w:left w:val="none" w:sz="0" w:space="0" w:color="auto"/>
        <w:bottom w:val="none" w:sz="0" w:space="0" w:color="auto"/>
        <w:right w:val="none" w:sz="0" w:space="0" w:color="auto"/>
      </w:divBdr>
      <w:divsChild>
        <w:div w:id="1423144115">
          <w:marLeft w:val="1080"/>
          <w:marRight w:val="0"/>
          <w:marTop w:val="100"/>
          <w:marBottom w:val="0"/>
          <w:divBdr>
            <w:top w:val="none" w:sz="0" w:space="0" w:color="auto"/>
            <w:left w:val="none" w:sz="0" w:space="0" w:color="auto"/>
            <w:bottom w:val="none" w:sz="0" w:space="0" w:color="auto"/>
            <w:right w:val="none" w:sz="0" w:space="0" w:color="auto"/>
          </w:divBdr>
        </w:div>
      </w:divsChild>
    </w:div>
    <w:div w:id="403383148">
      <w:bodyDiv w:val="1"/>
      <w:marLeft w:val="0"/>
      <w:marRight w:val="0"/>
      <w:marTop w:val="0"/>
      <w:marBottom w:val="0"/>
      <w:divBdr>
        <w:top w:val="none" w:sz="0" w:space="0" w:color="auto"/>
        <w:left w:val="none" w:sz="0" w:space="0" w:color="auto"/>
        <w:bottom w:val="none" w:sz="0" w:space="0" w:color="auto"/>
        <w:right w:val="none" w:sz="0" w:space="0" w:color="auto"/>
      </w:divBdr>
    </w:div>
    <w:div w:id="582641427">
      <w:bodyDiv w:val="1"/>
      <w:marLeft w:val="0"/>
      <w:marRight w:val="0"/>
      <w:marTop w:val="0"/>
      <w:marBottom w:val="0"/>
      <w:divBdr>
        <w:top w:val="none" w:sz="0" w:space="0" w:color="auto"/>
        <w:left w:val="none" w:sz="0" w:space="0" w:color="auto"/>
        <w:bottom w:val="none" w:sz="0" w:space="0" w:color="auto"/>
        <w:right w:val="none" w:sz="0" w:space="0" w:color="auto"/>
      </w:divBdr>
      <w:divsChild>
        <w:div w:id="1772973955">
          <w:marLeft w:val="0"/>
          <w:marRight w:val="0"/>
          <w:marTop w:val="0"/>
          <w:marBottom w:val="0"/>
          <w:divBdr>
            <w:top w:val="none" w:sz="0" w:space="0" w:color="auto"/>
            <w:left w:val="none" w:sz="0" w:space="0" w:color="auto"/>
            <w:bottom w:val="none" w:sz="0" w:space="0" w:color="auto"/>
            <w:right w:val="none" w:sz="0" w:space="0" w:color="auto"/>
          </w:divBdr>
        </w:div>
      </w:divsChild>
    </w:div>
    <w:div w:id="699166703">
      <w:bodyDiv w:val="1"/>
      <w:marLeft w:val="0"/>
      <w:marRight w:val="0"/>
      <w:marTop w:val="0"/>
      <w:marBottom w:val="0"/>
      <w:divBdr>
        <w:top w:val="none" w:sz="0" w:space="0" w:color="auto"/>
        <w:left w:val="none" w:sz="0" w:space="0" w:color="auto"/>
        <w:bottom w:val="none" w:sz="0" w:space="0" w:color="auto"/>
        <w:right w:val="none" w:sz="0" w:space="0" w:color="auto"/>
      </w:divBdr>
    </w:div>
    <w:div w:id="891693202">
      <w:bodyDiv w:val="1"/>
      <w:marLeft w:val="0"/>
      <w:marRight w:val="0"/>
      <w:marTop w:val="0"/>
      <w:marBottom w:val="0"/>
      <w:divBdr>
        <w:top w:val="none" w:sz="0" w:space="0" w:color="auto"/>
        <w:left w:val="none" w:sz="0" w:space="0" w:color="auto"/>
        <w:bottom w:val="none" w:sz="0" w:space="0" w:color="auto"/>
        <w:right w:val="none" w:sz="0" w:space="0" w:color="auto"/>
      </w:divBdr>
      <w:divsChild>
        <w:div w:id="2146458735">
          <w:marLeft w:val="0"/>
          <w:marRight w:val="0"/>
          <w:marTop w:val="0"/>
          <w:marBottom w:val="0"/>
          <w:divBdr>
            <w:top w:val="none" w:sz="0" w:space="0" w:color="auto"/>
            <w:left w:val="none" w:sz="0" w:space="0" w:color="auto"/>
            <w:bottom w:val="none" w:sz="0" w:space="0" w:color="auto"/>
            <w:right w:val="none" w:sz="0" w:space="0" w:color="auto"/>
          </w:divBdr>
        </w:div>
      </w:divsChild>
    </w:div>
    <w:div w:id="1111631569">
      <w:bodyDiv w:val="1"/>
      <w:marLeft w:val="0"/>
      <w:marRight w:val="0"/>
      <w:marTop w:val="0"/>
      <w:marBottom w:val="0"/>
      <w:divBdr>
        <w:top w:val="none" w:sz="0" w:space="0" w:color="auto"/>
        <w:left w:val="none" w:sz="0" w:space="0" w:color="auto"/>
        <w:bottom w:val="none" w:sz="0" w:space="0" w:color="auto"/>
        <w:right w:val="none" w:sz="0" w:space="0" w:color="auto"/>
      </w:divBdr>
    </w:div>
    <w:div w:id="1287396504">
      <w:bodyDiv w:val="1"/>
      <w:marLeft w:val="0"/>
      <w:marRight w:val="0"/>
      <w:marTop w:val="0"/>
      <w:marBottom w:val="0"/>
      <w:divBdr>
        <w:top w:val="none" w:sz="0" w:space="0" w:color="auto"/>
        <w:left w:val="none" w:sz="0" w:space="0" w:color="auto"/>
        <w:bottom w:val="none" w:sz="0" w:space="0" w:color="auto"/>
        <w:right w:val="none" w:sz="0" w:space="0" w:color="auto"/>
      </w:divBdr>
    </w:div>
    <w:div w:id="1314456095">
      <w:bodyDiv w:val="1"/>
      <w:marLeft w:val="0"/>
      <w:marRight w:val="0"/>
      <w:marTop w:val="0"/>
      <w:marBottom w:val="0"/>
      <w:divBdr>
        <w:top w:val="none" w:sz="0" w:space="0" w:color="auto"/>
        <w:left w:val="none" w:sz="0" w:space="0" w:color="auto"/>
        <w:bottom w:val="none" w:sz="0" w:space="0" w:color="auto"/>
        <w:right w:val="none" w:sz="0" w:space="0" w:color="auto"/>
      </w:divBdr>
    </w:div>
    <w:div w:id="1358893586">
      <w:bodyDiv w:val="1"/>
      <w:marLeft w:val="0"/>
      <w:marRight w:val="0"/>
      <w:marTop w:val="0"/>
      <w:marBottom w:val="0"/>
      <w:divBdr>
        <w:top w:val="none" w:sz="0" w:space="0" w:color="auto"/>
        <w:left w:val="none" w:sz="0" w:space="0" w:color="auto"/>
        <w:bottom w:val="none" w:sz="0" w:space="0" w:color="auto"/>
        <w:right w:val="none" w:sz="0" w:space="0" w:color="auto"/>
      </w:divBdr>
      <w:divsChild>
        <w:div w:id="142897315">
          <w:marLeft w:val="1080"/>
          <w:marRight w:val="0"/>
          <w:marTop w:val="100"/>
          <w:marBottom w:val="0"/>
          <w:divBdr>
            <w:top w:val="none" w:sz="0" w:space="0" w:color="auto"/>
            <w:left w:val="none" w:sz="0" w:space="0" w:color="auto"/>
            <w:bottom w:val="none" w:sz="0" w:space="0" w:color="auto"/>
            <w:right w:val="none" w:sz="0" w:space="0" w:color="auto"/>
          </w:divBdr>
        </w:div>
      </w:divsChild>
    </w:div>
    <w:div w:id="1631939365">
      <w:bodyDiv w:val="1"/>
      <w:marLeft w:val="0"/>
      <w:marRight w:val="0"/>
      <w:marTop w:val="0"/>
      <w:marBottom w:val="0"/>
      <w:divBdr>
        <w:top w:val="none" w:sz="0" w:space="0" w:color="auto"/>
        <w:left w:val="none" w:sz="0" w:space="0" w:color="auto"/>
        <w:bottom w:val="none" w:sz="0" w:space="0" w:color="auto"/>
        <w:right w:val="none" w:sz="0" w:space="0" w:color="auto"/>
      </w:divBdr>
    </w:div>
    <w:div w:id="1719891981">
      <w:bodyDiv w:val="1"/>
      <w:marLeft w:val="0"/>
      <w:marRight w:val="0"/>
      <w:marTop w:val="0"/>
      <w:marBottom w:val="0"/>
      <w:divBdr>
        <w:top w:val="none" w:sz="0" w:space="0" w:color="auto"/>
        <w:left w:val="none" w:sz="0" w:space="0" w:color="auto"/>
        <w:bottom w:val="none" w:sz="0" w:space="0" w:color="auto"/>
        <w:right w:val="none" w:sz="0" w:space="0" w:color="auto"/>
      </w:divBdr>
    </w:div>
    <w:div w:id="1871410204">
      <w:bodyDiv w:val="1"/>
      <w:marLeft w:val="0"/>
      <w:marRight w:val="0"/>
      <w:marTop w:val="0"/>
      <w:marBottom w:val="0"/>
      <w:divBdr>
        <w:top w:val="none" w:sz="0" w:space="0" w:color="auto"/>
        <w:left w:val="none" w:sz="0" w:space="0" w:color="auto"/>
        <w:bottom w:val="none" w:sz="0" w:space="0" w:color="auto"/>
        <w:right w:val="none" w:sz="0" w:space="0" w:color="auto"/>
      </w:divBdr>
      <w:divsChild>
        <w:div w:id="453451270">
          <w:marLeft w:val="0"/>
          <w:marRight w:val="0"/>
          <w:marTop w:val="0"/>
          <w:marBottom w:val="0"/>
          <w:divBdr>
            <w:top w:val="none" w:sz="0" w:space="0" w:color="auto"/>
            <w:left w:val="none" w:sz="0" w:space="0" w:color="auto"/>
            <w:bottom w:val="none" w:sz="0" w:space="0" w:color="auto"/>
            <w:right w:val="none" w:sz="0" w:space="0" w:color="auto"/>
          </w:divBdr>
        </w:div>
      </w:divsChild>
    </w:div>
    <w:div w:id="1941906799">
      <w:bodyDiv w:val="1"/>
      <w:marLeft w:val="0"/>
      <w:marRight w:val="0"/>
      <w:marTop w:val="0"/>
      <w:marBottom w:val="0"/>
      <w:divBdr>
        <w:top w:val="none" w:sz="0" w:space="0" w:color="auto"/>
        <w:left w:val="none" w:sz="0" w:space="0" w:color="auto"/>
        <w:bottom w:val="none" w:sz="0" w:space="0" w:color="auto"/>
        <w:right w:val="none" w:sz="0" w:space="0" w:color="auto"/>
      </w:divBdr>
      <w:divsChild>
        <w:div w:id="2043968362">
          <w:marLeft w:val="994"/>
          <w:marRight w:val="0"/>
          <w:marTop w:val="0"/>
          <w:marBottom w:val="0"/>
          <w:divBdr>
            <w:top w:val="none" w:sz="0" w:space="0" w:color="auto"/>
            <w:left w:val="none" w:sz="0" w:space="0" w:color="auto"/>
            <w:bottom w:val="none" w:sz="0" w:space="0" w:color="auto"/>
            <w:right w:val="none" w:sz="0" w:space="0" w:color="auto"/>
          </w:divBdr>
        </w:div>
        <w:div w:id="745807490">
          <w:marLeft w:val="994"/>
          <w:marRight w:val="0"/>
          <w:marTop w:val="0"/>
          <w:marBottom w:val="0"/>
          <w:divBdr>
            <w:top w:val="none" w:sz="0" w:space="0" w:color="auto"/>
            <w:left w:val="none" w:sz="0" w:space="0" w:color="auto"/>
            <w:bottom w:val="none" w:sz="0" w:space="0" w:color="auto"/>
            <w:right w:val="none" w:sz="0" w:space="0" w:color="auto"/>
          </w:divBdr>
        </w:div>
      </w:divsChild>
    </w:div>
    <w:div w:id="1986615739">
      <w:bodyDiv w:val="1"/>
      <w:marLeft w:val="0"/>
      <w:marRight w:val="0"/>
      <w:marTop w:val="0"/>
      <w:marBottom w:val="0"/>
      <w:divBdr>
        <w:top w:val="none" w:sz="0" w:space="0" w:color="auto"/>
        <w:left w:val="none" w:sz="0" w:space="0" w:color="auto"/>
        <w:bottom w:val="none" w:sz="0" w:space="0" w:color="auto"/>
        <w:right w:val="none" w:sz="0" w:space="0" w:color="auto"/>
      </w:divBdr>
    </w:div>
    <w:div w:id="210903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psr.umich.edu/icpsrweb/ICPSR/series/20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quickfacts/fact/dashboard/US/PST045218"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census.gov/hhes/www/cpstables/032014/pov/pov29_100.htm" TargetMode="External"/><Relationship Id="rId4" Type="http://schemas.openxmlformats.org/officeDocument/2006/relationships/settings" Target="settings.xml"/><Relationship Id="rId9" Type="http://schemas.openxmlformats.org/officeDocument/2006/relationships/hyperlink" Target="https://nwlc.org/resources/national-snapshot-poverty-among-women-families-201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CB9D1-731E-CE43-ABC0-DE6B37EC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7197</Words>
  <Characters>41025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Hamm</dc:creator>
  <cp:keywords/>
  <dc:description/>
  <cp:lastModifiedBy>Microsoft Office User</cp:lastModifiedBy>
  <cp:revision>2</cp:revision>
  <dcterms:created xsi:type="dcterms:W3CDTF">2020-03-07T23:32:00Z</dcterms:created>
  <dcterms:modified xsi:type="dcterms:W3CDTF">2020-03-07T23:32:00Z</dcterms:modified>
</cp:coreProperties>
</file>