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36" w:rsidRDefault="00F17E36" w:rsidP="00F17E36">
      <w:pPr>
        <w:spacing w:after="0" w:line="240" w:lineRule="auto"/>
        <w:jc w:val="center"/>
        <w:rPr>
          <w:rFonts w:ascii="Times New Roman" w:hAnsi="Times New Roman"/>
          <w:sz w:val="24"/>
          <w:szCs w:val="24"/>
        </w:rPr>
      </w:pPr>
      <w:r>
        <w:rPr>
          <w:rFonts w:ascii="Times New Roman" w:hAnsi="Times New Roman"/>
          <w:sz w:val="24"/>
          <w:szCs w:val="24"/>
        </w:rPr>
        <w:t>A MARKOV DECISION TREE MODEL TO EVALUATE COST-EFFECTIVENESS</w:t>
      </w:r>
    </w:p>
    <w:p w:rsidR="00F17E36" w:rsidRPr="000C0819" w:rsidRDefault="00F17E36" w:rsidP="00F17E36">
      <w:pPr>
        <w:spacing w:after="0" w:line="240" w:lineRule="auto"/>
        <w:jc w:val="center"/>
        <w:rPr>
          <w:rFonts w:ascii="Times New Roman" w:eastAsia="Times New Roman" w:hAnsi="Times New Roman" w:cs="Times New Roman"/>
          <w:sz w:val="20"/>
          <w:szCs w:val="20"/>
          <w:highlight w:val="yellow"/>
        </w:rPr>
      </w:pPr>
      <w:r>
        <w:rPr>
          <w:rFonts w:ascii="Times New Roman" w:hAnsi="Times New Roman"/>
          <w:sz w:val="24"/>
          <w:szCs w:val="24"/>
        </w:rPr>
        <w:t>OF CERVICAL CANCER TREATMENTS</w:t>
      </w:r>
    </w:p>
    <w:p w:rsidR="00F17E36" w:rsidRDefault="00F17E36" w:rsidP="00F17E36">
      <w:pPr>
        <w:spacing w:after="0" w:line="240" w:lineRule="auto"/>
        <w:jc w:val="center"/>
        <w:rPr>
          <w:rFonts w:ascii="Times New Roman" w:eastAsia="Times New Roman" w:hAnsi="Times New Roman" w:cs="Times New Roman"/>
          <w:sz w:val="20"/>
          <w:szCs w:val="20"/>
          <w:highlight w:val="yellow"/>
        </w:rPr>
      </w:pPr>
    </w:p>
    <w:p w:rsidR="00F17E36" w:rsidRPr="005C0BC1" w:rsidRDefault="00F17E36" w:rsidP="00F17E36">
      <w:pPr>
        <w:spacing w:after="0" w:line="240" w:lineRule="auto"/>
        <w:jc w:val="center"/>
        <w:rPr>
          <w:rFonts w:ascii="Times New Roman" w:eastAsia="Times New Roman" w:hAnsi="Times New Roman" w:cs="Times New Roman"/>
          <w:sz w:val="20"/>
          <w:szCs w:val="20"/>
          <w:lang w:val="es-MX"/>
        </w:rPr>
      </w:pPr>
      <w:r w:rsidRPr="005C0BC1">
        <w:rPr>
          <w:rFonts w:ascii="Times New Roman" w:eastAsia="Times New Roman" w:hAnsi="Times New Roman" w:cs="Times New Roman"/>
          <w:sz w:val="20"/>
          <w:szCs w:val="20"/>
          <w:lang w:val="es-MX"/>
        </w:rPr>
        <w:t>L. Robin Keller*, Jiaru Bai*,</w:t>
      </w:r>
      <w:r w:rsidR="005C0BC1" w:rsidRPr="005C0BC1">
        <w:rPr>
          <w:rFonts w:ascii="Times New Roman" w:eastAsia="Times New Roman" w:hAnsi="Times New Roman" w:cs="Times New Roman"/>
          <w:sz w:val="20"/>
          <w:szCs w:val="20"/>
          <w:lang w:val="es-MX"/>
        </w:rPr>
        <w:t>Cristina del Campo*</w:t>
      </w:r>
      <w:r w:rsidR="005C0BC1">
        <w:rPr>
          <w:rFonts w:ascii="Times New Roman" w:eastAsia="Times New Roman" w:hAnsi="Times New Roman" w:cs="Times New Roman"/>
          <w:sz w:val="20"/>
          <w:szCs w:val="20"/>
          <w:lang w:val="es-MX"/>
        </w:rPr>
        <w:t>#</w:t>
      </w:r>
    </w:p>
    <w:p w:rsidR="00F17E36" w:rsidRPr="00321775" w:rsidRDefault="00F17E36" w:rsidP="00F17E36">
      <w:pPr>
        <w:spacing w:after="0" w:line="240" w:lineRule="auto"/>
        <w:jc w:val="center"/>
        <w:rPr>
          <w:rFonts w:ascii="Times New Roman" w:eastAsia="Times New Roman" w:hAnsi="Times New Roman" w:cs="Times New Roman"/>
          <w:sz w:val="20"/>
          <w:szCs w:val="20"/>
        </w:rPr>
      </w:pPr>
      <w:r w:rsidRPr="00321775">
        <w:rPr>
          <w:rFonts w:ascii="Times New Roman" w:eastAsia="Times New Roman" w:hAnsi="Times New Roman" w:cs="Times New Roman"/>
          <w:sz w:val="20"/>
          <w:szCs w:val="20"/>
        </w:rPr>
        <w:t>*University of California, Irvine, USA</w:t>
      </w:r>
      <w:r w:rsidR="005C0BC1">
        <w:rPr>
          <w:rFonts w:ascii="Times New Roman" w:eastAsia="Times New Roman" w:hAnsi="Times New Roman" w:cs="Times New Roman"/>
          <w:sz w:val="20"/>
          <w:szCs w:val="20"/>
        </w:rPr>
        <w:t>, Universidad Complutense de Madrid, SPAIN</w:t>
      </w:r>
    </w:p>
    <w:p w:rsidR="00F17E36" w:rsidRPr="00321775" w:rsidRDefault="00F17E36" w:rsidP="00F17E36">
      <w:pPr>
        <w:spacing w:after="0" w:line="240" w:lineRule="auto"/>
        <w:rPr>
          <w:rFonts w:ascii="Times New Roman" w:eastAsia="Times New Roman" w:hAnsi="Times New Roman" w:cs="Times New Roman"/>
          <w:sz w:val="20"/>
          <w:szCs w:val="20"/>
        </w:rPr>
      </w:pPr>
    </w:p>
    <w:p w:rsidR="00F17E36" w:rsidRPr="006152DF" w:rsidRDefault="00F17E36" w:rsidP="006152DF">
      <w:pPr>
        <w:spacing w:after="0" w:line="240" w:lineRule="auto"/>
        <w:rPr>
          <w:rFonts w:ascii="Times New Roman" w:eastAsia="Times New Roman" w:hAnsi="Times New Roman" w:cs="Times New Roman"/>
          <w:sz w:val="20"/>
          <w:szCs w:val="20"/>
        </w:rPr>
      </w:pPr>
      <w:r w:rsidRPr="006152DF">
        <w:rPr>
          <w:rFonts w:ascii="Times New Roman" w:hAnsi="Times New Roman" w:cs="Times New Roman"/>
          <w:b/>
          <w:bCs/>
          <w:sz w:val="20"/>
          <w:szCs w:val="20"/>
        </w:rPr>
        <w:t>Abstract</w:t>
      </w:r>
      <w:r w:rsidRPr="006152DF">
        <w:rPr>
          <w:rFonts w:ascii="Times New Roman" w:eastAsia="Times New Roman" w:hAnsi="Times New Roman" w:cs="Times New Roman"/>
          <w:sz w:val="20"/>
          <w:szCs w:val="20"/>
        </w:rPr>
        <w:t xml:space="preserve"> </w:t>
      </w:r>
    </w:p>
    <w:p w:rsidR="00F17E36" w:rsidRPr="006152DF" w:rsidRDefault="00F17E36" w:rsidP="006152DF">
      <w:pPr>
        <w:spacing w:after="0" w:line="240" w:lineRule="auto"/>
        <w:ind w:firstLine="720"/>
        <w:jc w:val="both"/>
        <w:rPr>
          <w:rFonts w:ascii="Times New Roman" w:eastAsiaTheme="minorEastAsia" w:hAnsi="Times New Roman" w:cs="Times New Roman"/>
          <w:b/>
          <w:bCs/>
          <w:color w:val="000000"/>
          <w:kern w:val="24"/>
          <w:sz w:val="20"/>
          <w:szCs w:val="20"/>
        </w:rPr>
      </w:pPr>
      <w:r w:rsidRPr="006152DF">
        <w:rPr>
          <w:rFonts w:ascii="Times New Roman" w:hAnsi="Times New Roman" w:cs="Times New Roman"/>
          <w:bCs/>
          <w:iCs/>
          <w:sz w:val="20"/>
          <w:szCs w:val="20"/>
        </w:rPr>
        <w:t>We evaluated the cost-effectiveness of adding the new drug bevacizumab to chemotherapy treatment of advanced cervical cancer.  A Markov decision tree was created using recent clinical trial data. In the 5-year model, subjects transitioned through the following monthly states: response to the treatment, progression of the disease, minor complications, severe complications, and death. The 2013 US MediCare Services Drug Payment Table and Physician Fee Schedule provided costs, in US dollars.</w:t>
      </w:r>
    </w:p>
    <w:p w:rsidR="00F17E36" w:rsidRPr="006152DF" w:rsidRDefault="00F17E36" w:rsidP="006152DF">
      <w:pPr>
        <w:spacing w:after="0" w:line="240" w:lineRule="auto"/>
        <w:ind w:firstLine="720"/>
        <w:jc w:val="both"/>
        <w:rPr>
          <w:rFonts w:ascii="Times New Roman" w:hAnsi="Times New Roman" w:cs="Times New Roman"/>
          <w:sz w:val="20"/>
          <w:szCs w:val="20"/>
        </w:rPr>
      </w:pPr>
      <w:r w:rsidRPr="006152DF">
        <w:rPr>
          <w:rFonts w:ascii="Times New Roman" w:eastAsiaTheme="minorEastAsia" w:hAnsi="Times New Roman" w:cs="Times New Roman"/>
          <w:bCs/>
          <w:color w:val="000000"/>
          <w:kern w:val="24"/>
          <w:sz w:val="20"/>
          <w:szCs w:val="20"/>
        </w:rPr>
        <w:t xml:space="preserve">On average, patients survived 14.7 months at a US medical system cost of $5,938 with chemotherapy alone vs. 17.7 months at a cost of $79,097 with chemo plus bevacizumab. </w:t>
      </w:r>
      <w:r w:rsidRPr="006152DF">
        <w:rPr>
          <w:rFonts w:ascii="Times New Roman" w:hAnsi="Times New Roman" w:cs="Times New Roman"/>
          <w:sz w:val="20"/>
          <w:szCs w:val="20"/>
        </w:rPr>
        <w:t>The estimated total cost of therapy with bevacizumab is approximately 13.3 times that for chemotherapy alone, adding $73,159 per 3.0 months of life gained.  So the incremental cost effectiveness ratio (ICER) is $24,386 extra cost/extra month.</w:t>
      </w:r>
    </w:p>
    <w:p w:rsidR="00C77711" w:rsidRDefault="00C77711" w:rsidP="00C77711">
      <w:pPr>
        <w:spacing w:after="0" w:line="240" w:lineRule="auto"/>
        <w:ind w:firstLine="720"/>
        <w:jc w:val="both"/>
        <w:rPr>
          <w:rFonts w:ascii="Times New Roman" w:hAnsi="Times New Roman" w:cs="Times New Roman"/>
          <w:sz w:val="20"/>
          <w:szCs w:val="20"/>
        </w:rPr>
      </w:pPr>
      <w:r>
        <w:rPr>
          <w:rFonts w:ascii="Times New Roman" w:hAnsi="Times New Roman" w:cs="Times New Roman"/>
          <w:bCs/>
          <w:iCs/>
          <w:sz w:val="20"/>
          <w:szCs w:val="20"/>
        </w:rPr>
        <w:t xml:space="preserve">Patients experienced a health quality level each month depending on the treatment effectiveness and on any complications, ranging from 0 for death to 1 for the baseline of 1 month responding to advanced cervical cancer treatment. Patients survived </w:t>
      </w:r>
      <w:r>
        <w:rPr>
          <w:rFonts w:ascii="Times New Roman" w:eastAsiaTheme="minorEastAsia" w:hAnsi="Times New Roman" w:cs="Times New Roman"/>
          <w:bCs/>
          <w:color w:val="000000"/>
          <w:kern w:val="24"/>
          <w:sz w:val="20"/>
          <w:szCs w:val="20"/>
        </w:rPr>
        <w:t>11.2 quality adjusted life months (QALmonths</w:t>
      </w:r>
      <w:r>
        <w:rPr>
          <w:rFonts w:ascii="Times New Roman" w:eastAsiaTheme="minorEastAsia" w:hAnsi="Times New Roman" w:cs="Times New Roman"/>
          <w:bCs/>
          <w:color w:val="000000"/>
          <w:kern w:val="24"/>
          <w:sz w:val="20"/>
          <w:szCs w:val="20"/>
          <w:vertAlign w:val="superscript"/>
        </w:rPr>
        <w:t>cc</w:t>
      </w:r>
      <w:r>
        <w:rPr>
          <w:rFonts w:ascii="Times New Roman" w:eastAsiaTheme="minorEastAsia" w:hAnsi="Times New Roman" w:cs="Times New Roman"/>
          <w:bCs/>
          <w:color w:val="000000"/>
          <w:kern w:val="24"/>
          <w:sz w:val="20"/>
          <w:szCs w:val="20"/>
        </w:rPr>
        <w:t>) with chemo alone vs. 13.9 QALmonths</w:t>
      </w:r>
      <w:r>
        <w:rPr>
          <w:rFonts w:ascii="Times New Roman" w:eastAsiaTheme="minorEastAsia" w:hAnsi="Times New Roman" w:cs="Times New Roman"/>
          <w:bCs/>
          <w:color w:val="000000"/>
          <w:kern w:val="24"/>
          <w:sz w:val="20"/>
          <w:szCs w:val="20"/>
          <w:vertAlign w:val="superscript"/>
        </w:rPr>
        <w:t>cc</w:t>
      </w:r>
      <w:r>
        <w:rPr>
          <w:rFonts w:ascii="Times New Roman" w:eastAsiaTheme="minorEastAsia" w:hAnsi="Times New Roman" w:cs="Times New Roman"/>
          <w:bCs/>
          <w:color w:val="000000"/>
          <w:kern w:val="24"/>
          <w:sz w:val="20"/>
          <w:szCs w:val="20"/>
        </w:rPr>
        <w:t xml:space="preserve"> with chemo plus bevacizumab. </w:t>
      </w:r>
      <w:r>
        <w:rPr>
          <w:rFonts w:ascii="Times New Roman" w:hAnsi="Times New Roman" w:cs="Times New Roman"/>
          <w:sz w:val="20"/>
          <w:szCs w:val="20"/>
        </w:rPr>
        <w:t>The ICER ratio increased to $27,096/QALmonth</w:t>
      </w:r>
      <w:r>
        <w:rPr>
          <w:rFonts w:ascii="Times New Roman" w:hAnsi="Times New Roman" w:cs="Times New Roman"/>
          <w:sz w:val="20"/>
          <w:szCs w:val="20"/>
          <w:vertAlign w:val="superscript"/>
        </w:rPr>
        <w:t>cc</w:t>
      </w:r>
      <w:r>
        <w:rPr>
          <w:rFonts w:ascii="Times New Roman" w:hAnsi="Times New Roman" w:cs="Times New Roman"/>
          <w:sz w:val="20"/>
          <w:szCs w:val="20"/>
        </w:rPr>
        <w:t xml:space="preserve"> due to the smaller difference in QALmonths</w:t>
      </w:r>
      <w:r>
        <w:rPr>
          <w:rFonts w:ascii="Times New Roman" w:eastAsiaTheme="minorEastAsia" w:hAnsi="Times New Roman" w:cs="Times New Roman"/>
          <w:bCs/>
          <w:color w:val="000000"/>
          <w:kern w:val="24"/>
          <w:sz w:val="20"/>
          <w:szCs w:val="20"/>
          <w:vertAlign w:val="superscript"/>
        </w:rPr>
        <w:t>cc</w:t>
      </w:r>
      <w:r>
        <w:rPr>
          <w:rFonts w:ascii="Times New Roman" w:hAnsi="Times New Roman" w:cs="Times New Roman"/>
          <w:sz w:val="20"/>
          <w:szCs w:val="20"/>
        </w:rPr>
        <w:t xml:space="preserve">. </w:t>
      </w:r>
    </w:p>
    <w:p w:rsidR="00F17E36" w:rsidRDefault="00F17E36" w:rsidP="006152DF">
      <w:pPr>
        <w:spacing w:after="0" w:line="240" w:lineRule="auto"/>
        <w:ind w:firstLine="720"/>
        <w:jc w:val="both"/>
        <w:rPr>
          <w:rFonts w:ascii="Times New Roman" w:hAnsi="Times New Roman" w:cs="Times New Roman"/>
          <w:sz w:val="20"/>
          <w:szCs w:val="20"/>
        </w:rPr>
      </w:pPr>
      <w:r w:rsidRPr="006152DF">
        <w:rPr>
          <w:rFonts w:ascii="Times New Roman" w:hAnsi="Times New Roman" w:cs="Times New Roman"/>
          <w:sz w:val="20"/>
          <w:szCs w:val="20"/>
        </w:rPr>
        <w:t>Increased costs associated with bevacizumab therapy for advanced cervical cancer are primarily due to the cost of the drug and not the management of bevacizumab-induced complications. Possible future cost reductions in bevacizumab or biosimilars would result in dramatic declines in the added cost of gaining more months of life.</w:t>
      </w:r>
    </w:p>
    <w:p w:rsidR="005C0BC1" w:rsidRPr="006152DF" w:rsidRDefault="005C0BC1" w:rsidP="006152D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our talk, we compare three software packages for Markov decision trees: TreeAge, Sto Tree by Godon Hazen, and the markovchain package in R. </w:t>
      </w:r>
    </w:p>
    <w:p w:rsidR="009046D3" w:rsidRPr="006152DF" w:rsidRDefault="009046D3" w:rsidP="006152DF">
      <w:pPr>
        <w:spacing w:after="0" w:line="240" w:lineRule="auto"/>
        <w:rPr>
          <w:rFonts w:ascii="Times New Roman" w:eastAsia="Times New Roman" w:hAnsi="Times New Roman" w:cs="Times New Roman"/>
          <w:sz w:val="20"/>
          <w:szCs w:val="20"/>
          <w:highlight w:val="yellow"/>
        </w:rPr>
      </w:pPr>
    </w:p>
    <w:p w:rsidR="00F17E36" w:rsidRPr="006152DF" w:rsidRDefault="00F17E36" w:rsidP="006152DF">
      <w:pPr>
        <w:spacing w:after="0" w:line="240" w:lineRule="auto"/>
        <w:rPr>
          <w:rFonts w:ascii="Times New Roman" w:hAnsi="Times New Roman" w:cs="Times New Roman"/>
          <w:bCs/>
          <w:sz w:val="20"/>
          <w:szCs w:val="20"/>
        </w:rPr>
      </w:pPr>
      <w:r w:rsidRPr="006152DF">
        <w:rPr>
          <w:rFonts w:ascii="Times New Roman" w:hAnsi="Times New Roman" w:cs="Times New Roman"/>
          <w:b/>
          <w:bCs/>
          <w:sz w:val="20"/>
          <w:szCs w:val="20"/>
        </w:rPr>
        <w:t>Keywords:</w:t>
      </w:r>
      <w:r w:rsidRPr="006152DF">
        <w:rPr>
          <w:rFonts w:ascii="Times New Roman" w:hAnsi="Times New Roman" w:cs="Times New Roman"/>
          <w:bCs/>
          <w:sz w:val="20"/>
          <w:szCs w:val="20"/>
        </w:rPr>
        <w:t xml:space="preserve">  bevacizumab, cervical cancer, cost-effectiveness, decision tree, Markov model</w:t>
      </w:r>
    </w:p>
    <w:p w:rsidR="006152DF" w:rsidRDefault="006152DF" w:rsidP="006152DF">
      <w:pPr>
        <w:spacing w:after="0" w:line="240" w:lineRule="auto"/>
        <w:rPr>
          <w:rFonts w:ascii="Times New Roman" w:hAnsi="Times New Roman" w:cs="Times New Roman"/>
          <w:sz w:val="20"/>
          <w:szCs w:val="20"/>
        </w:rPr>
      </w:pPr>
    </w:p>
    <w:p w:rsidR="00525C32" w:rsidRDefault="00525C32" w:rsidP="00924839">
      <w:pPr>
        <w:spacing w:after="0" w:line="240" w:lineRule="auto"/>
        <w:rPr>
          <w:rFonts w:ascii="Times New Roman" w:hAnsi="Times New Roman" w:cs="Times New Roman"/>
          <w:sz w:val="20"/>
          <w:szCs w:val="20"/>
        </w:rPr>
      </w:pPr>
    </w:p>
    <w:p w:rsidR="006027BC" w:rsidRDefault="00F17E36" w:rsidP="00924839">
      <w:pPr>
        <w:spacing w:after="0" w:line="240" w:lineRule="auto"/>
        <w:rPr>
          <w:rFonts w:ascii="Times New Roman" w:hAnsi="Times New Roman" w:cs="Times New Roman"/>
          <w:sz w:val="20"/>
          <w:szCs w:val="20"/>
        </w:rPr>
      </w:pPr>
      <w:r w:rsidRPr="006152DF">
        <w:rPr>
          <w:rFonts w:ascii="Times New Roman" w:hAnsi="Times New Roman" w:cs="Times New Roman"/>
          <w:sz w:val="20"/>
          <w:szCs w:val="20"/>
        </w:rPr>
        <w:t>Introduction</w:t>
      </w:r>
      <w:r w:rsidR="00924839">
        <w:rPr>
          <w:rFonts w:ascii="Times New Roman" w:hAnsi="Times New Roman" w:cs="Times New Roman"/>
          <w:sz w:val="20"/>
          <w:szCs w:val="20"/>
        </w:rPr>
        <w:t xml:space="preserve">.  </w:t>
      </w:r>
    </w:p>
    <w:p w:rsidR="00990DD2" w:rsidRPr="006152DF" w:rsidRDefault="00990DD2" w:rsidP="006027BC">
      <w:pPr>
        <w:spacing w:after="0" w:line="240" w:lineRule="auto"/>
        <w:ind w:firstLine="720"/>
        <w:rPr>
          <w:rFonts w:ascii="Times New Roman" w:eastAsiaTheme="minorEastAsia" w:hAnsi="Times New Roman" w:cs="Times New Roman"/>
          <w:b/>
          <w:bCs/>
          <w:color w:val="000000"/>
          <w:kern w:val="24"/>
          <w:sz w:val="20"/>
          <w:szCs w:val="20"/>
        </w:rPr>
      </w:pPr>
      <w:r w:rsidRPr="006152DF">
        <w:rPr>
          <w:rFonts w:ascii="Times New Roman" w:hAnsi="Times New Roman" w:cs="Times New Roman"/>
          <w:bCs/>
          <w:iCs/>
          <w:sz w:val="20"/>
          <w:szCs w:val="20"/>
        </w:rPr>
        <w:t>This talk is based on the full paper by Minion et al. (2015)</w:t>
      </w:r>
      <w:r w:rsidRPr="006152DF">
        <w:rPr>
          <w:rFonts w:ascii="Times New Roman" w:hAnsi="Times New Roman" w:cs="Times New Roman"/>
          <w:bCs/>
          <w:iCs/>
          <w:sz w:val="20"/>
          <w:szCs w:val="20"/>
          <w:vertAlign w:val="superscript"/>
        </w:rPr>
        <w:t>1</w:t>
      </w:r>
      <w:r w:rsidRPr="006152DF">
        <w:rPr>
          <w:rFonts w:ascii="Times New Roman" w:hAnsi="Times New Roman" w:cs="Times New Roman"/>
          <w:bCs/>
          <w:iCs/>
          <w:sz w:val="20"/>
          <w:szCs w:val="20"/>
        </w:rPr>
        <w:t>, a research team in the western United States combining two operations researchers from the University of California, Irvine Merage School of Business with gynecological cancer surgeon physicians at the UCI School of Medicine and other physicians.</w:t>
      </w:r>
    </w:p>
    <w:p w:rsidR="003B08DC" w:rsidRPr="006152DF" w:rsidRDefault="007A42B9" w:rsidP="00F33140">
      <w:pPr>
        <w:spacing w:after="0" w:line="240" w:lineRule="auto"/>
        <w:ind w:firstLine="720"/>
        <w:jc w:val="both"/>
        <w:rPr>
          <w:rFonts w:ascii="Times New Roman" w:hAnsi="Times New Roman" w:cs="Times New Roman"/>
          <w:bCs/>
          <w:iCs/>
          <w:sz w:val="20"/>
          <w:szCs w:val="20"/>
        </w:rPr>
      </w:pPr>
      <w:r w:rsidRPr="006152DF">
        <w:rPr>
          <w:rFonts w:ascii="Times New Roman" w:hAnsi="Times New Roman" w:cs="Times New Roman"/>
          <w:bCs/>
          <w:iCs/>
          <w:sz w:val="20"/>
          <w:szCs w:val="20"/>
        </w:rPr>
        <w:t>T</w:t>
      </w:r>
      <w:r w:rsidR="00490111" w:rsidRPr="006152DF">
        <w:rPr>
          <w:rFonts w:ascii="Times New Roman" w:hAnsi="Times New Roman" w:cs="Times New Roman"/>
          <w:bCs/>
          <w:iCs/>
          <w:sz w:val="20"/>
          <w:szCs w:val="20"/>
        </w:rPr>
        <w:t xml:space="preserve">he cost-effectiveness of adding the new drug bevacizumab </w:t>
      </w:r>
      <w:r w:rsidR="008F2922" w:rsidRPr="006152DF">
        <w:rPr>
          <w:rFonts w:ascii="Times New Roman" w:hAnsi="Times New Roman" w:cs="Times New Roman"/>
          <w:bCs/>
          <w:iCs/>
          <w:sz w:val="20"/>
          <w:szCs w:val="20"/>
        </w:rPr>
        <w:t xml:space="preserve">(with the brand name </w:t>
      </w:r>
      <w:r w:rsidR="008F2922" w:rsidRPr="006152DF">
        <w:rPr>
          <w:rFonts w:ascii="Times New Roman" w:hAnsi="Times New Roman" w:cs="Times New Roman"/>
          <w:sz w:val="20"/>
          <w:szCs w:val="20"/>
        </w:rPr>
        <w:t>Avastin</w:t>
      </w:r>
      <w:r w:rsidR="00990DD2" w:rsidRPr="006152DF">
        <w:rPr>
          <w:rFonts w:ascii="Times New Roman" w:hAnsi="Times New Roman" w:cs="Times New Roman"/>
          <w:sz w:val="20"/>
          <w:szCs w:val="20"/>
          <w:vertAlign w:val="superscript"/>
        </w:rPr>
        <w:t>2</w:t>
      </w:r>
      <w:r w:rsidR="008F2922" w:rsidRPr="006152DF">
        <w:rPr>
          <w:rFonts w:ascii="Times New Roman" w:hAnsi="Times New Roman" w:cs="Times New Roman"/>
          <w:sz w:val="20"/>
          <w:szCs w:val="20"/>
        </w:rPr>
        <w:t xml:space="preserve">) </w:t>
      </w:r>
      <w:r w:rsidR="00490111" w:rsidRPr="006152DF">
        <w:rPr>
          <w:rFonts w:ascii="Times New Roman" w:hAnsi="Times New Roman" w:cs="Times New Roman"/>
          <w:bCs/>
          <w:iCs/>
          <w:sz w:val="20"/>
          <w:szCs w:val="20"/>
        </w:rPr>
        <w:t>to chemotherapy treatment of advanced cervical cancer</w:t>
      </w:r>
      <w:r w:rsidRPr="006152DF">
        <w:rPr>
          <w:rFonts w:ascii="Times New Roman" w:hAnsi="Times New Roman" w:cs="Times New Roman"/>
          <w:bCs/>
          <w:iCs/>
          <w:sz w:val="20"/>
          <w:szCs w:val="20"/>
        </w:rPr>
        <w:t xml:space="preserve"> is evaluated with a</w:t>
      </w:r>
      <w:r w:rsidR="00490111" w:rsidRPr="006152DF">
        <w:rPr>
          <w:rFonts w:ascii="Times New Roman" w:hAnsi="Times New Roman" w:cs="Times New Roman"/>
          <w:bCs/>
          <w:iCs/>
          <w:sz w:val="20"/>
          <w:szCs w:val="20"/>
        </w:rPr>
        <w:t xml:space="preserve"> Markov decision tree </w:t>
      </w:r>
      <w:r w:rsidRPr="006152DF">
        <w:rPr>
          <w:rFonts w:ascii="Times New Roman" w:hAnsi="Times New Roman" w:cs="Times New Roman"/>
          <w:bCs/>
          <w:iCs/>
          <w:sz w:val="20"/>
          <w:szCs w:val="20"/>
        </w:rPr>
        <w:t xml:space="preserve">analysis </w:t>
      </w:r>
      <w:r w:rsidR="00490111" w:rsidRPr="006152DF">
        <w:rPr>
          <w:rFonts w:ascii="Times New Roman" w:hAnsi="Times New Roman" w:cs="Times New Roman"/>
          <w:bCs/>
          <w:iCs/>
          <w:sz w:val="20"/>
          <w:szCs w:val="20"/>
        </w:rPr>
        <w:t>using recent clinical trial data</w:t>
      </w:r>
      <w:r w:rsidR="00990DD2" w:rsidRPr="006152DF">
        <w:rPr>
          <w:rFonts w:ascii="Times New Roman" w:hAnsi="Times New Roman" w:cs="Times New Roman"/>
          <w:bCs/>
          <w:iCs/>
          <w:sz w:val="20"/>
          <w:szCs w:val="20"/>
        </w:rPr>
        <w:t xml:space="preserve"> </w:t>
      </w:r>
      <w:r w:rsidR="00990DD2" w:rsidRPr="006152DF">
        <w:rPr>
          <w:rFonts w:ascii="Times New Roman" w:hAnsi="Times New Roman" w:cs="Times New Roman"/>
          <w:bCs/>
          <w:iCs/>
          <w:sz w:val="20"/>
          <w:szCs w:val="20"/>
          <w:vertAlign w:val="superscript"/>
        </w:rPr>
        <w:t>(3-6)</w:t>
      </w:r>
      <w:r w:rsidR="00990DD2" w:rsidRPr="006152DF">
        <w:rPr>
          <w:rFonts w:ascii="Times New Roman" w:hAnsi="Times New Roman" w:cs="Times New Roman"/>
          <w:bCs/>
          <w:iCs/>
          <w:sz w:val="20"/>
          <w:szCs w:val="20"/>
        </w:rPr>
        <w:t>.</w:t>
      </w:r>
      <w:r w:rsidR="00C500F6" w:rsidRPr="006152DF">
        <w:rPr>
          <w:rFonts w:ascii="Times New Roman" w:hAnsi="Times New Roman" w:cs="Times New Roman"/>
          <w:bCs/>
          <w:iCs/>
          <w:sz w:val="20"/>
          <w:szCs w:val="20"/>
        </w:rPr>
        <w:t xml:space="preserve"> The advantage of such a model is that it can show month-to-month probabilistic transitions of each patient via Monte Carlo simulation. Such a model allows physicians and patients to understand the probabilistic nature of cancer treatment, with some patients getting worse quickly and other staying in the state of responding successfully to treatment for more months. </w:t>
      </w:r>
    </w:p>
    <w:p w:rsidR="005A47B3" w:rsidRPr="006152DF" w:rsidRDefault="005A47B3" w:rsidP="006152DF">
      <w:pPr>
        <w:spacing w:after="0" w:line="240" w:lineRule="auto"/>
        <w:jc w:val="both"/>
        <w:rPr>
          <w:rFonts w:ascii="Times New Roman" w:hAnsi="Times New Roman" w:cs="Times New Roman"/>
          <w:sz w:val="20"/>
          <w:szCs w:val="20"/>
        </w:rPr>
      </w:pPr>
    </w:p>
    <w:p w:rsidR="006027BC" w:rsidRDefault="00F17E36" w:rsidP="00924839">
      <w:pPr>
        <w:spacing w:after="0" w:line="240" w:lineRule="auto"/>
        <w:jc w:val="both"/>
        <w:rPr>
          <w:rFonts w:ascii="Times New Roman" w:hAnsi="Times New Roman" w:cs="Times New Roman"/>
          <w:sz w:val="20"/>
          <w:szCs w:val="20"/>
        </w:rPr>
      </w:pPr>
      <w:r w:rsidRPr="006152DF">
        <w:rPr>
          <w:rFonts w:ascii="Times New Roman" w:hAnsi="Times New Roman" w:cs="Times New Roman"/>
          <w:sz w:val="20"/>
          <w:szCs w:val="20"/>
        </w:rPr>
        <w:t>Section 1</w:t>
      </w:r>
      <w:r w:rsidR="00D517E2" w:rsidRPr="006152DF">
        <w:rPr>
          <w:rFonts w:ascii="Times New Roman" w:hAnsi="Times New Roman" w:cs="Times New Roman"/>
          <w:sz w:val="20"/>
          <w:szCs w:val="20"/>
        </w:rPr>
        <w:t xml:space="preserve">. </w:t>
      </w:r>
      <w:r w:rsidR="00DC6585" w:rsidRPr="006152DF">
        <w:rPr>
          <w:rFonts w:ascii="Times New Roman" w:hAnsi="Times New Roman" w:cs="Times New Roman"/>
          <w:sz w:val="20"/>
          <w:szCs w:val="20"/>
        </w:rPr>
        <w:t xml:space="preserve"> </w:t>
      </w:r>
      <w:r w:rsidR="00D517E2" w:rsidRPr="006152DF">
        <w:rPr>
          <w:rFonts w:ascii="Times New Roman" w:hAnsi="Times New Roman" w:cs="Times New Roman"/>
          <w:sz w:val="20"/>
          <w:szCs w:val="20"/>
        </w:rPr>
        <w:t xml:space="preserve">Markov </w:t>
      </w:r>
      <w:r w:rsidR="005A47B3" w:rsidRPr="006152DF">
        <w:rPr>
          <w:rFonts w:ascii="Times New Roman" w:hAnsi="Times New Roman" w:cs="Times New Roman"/>
          <w:sz w:val="20"/>
          <w:szCs w:val="20"/>
        </w:rPr>
        <w:t>Diagram</w:t>
      </w:r>
      <w:r w:rsidR="00924839">
        <w:rPr>
          <w:rFonts w:ascii="Times New Roman" w:hAnsi="Times New Roman" w:cs="Times New Roman"/>
          <w:sz w:val="20"/>
          <w:szCs w:val="20"/>
        </w:rPr>
        <w:t xml:space="preserve">.  </w:t>
      </w:r>
    </w:p>
    <w:p w:rsidR="007A42B9" w:rsidRPr="006152DF" w:rsidRDefault="0031583A" w:rsidP="006152DF">
      <w:pPr>
        <w:spacing w:after="0" w:line="240" w:lineRule="auto"/>
        <w:ind w:firstLine="720"/>
        <w:jc w:val="both"/>
        <w:rPr>
          <w:rFonts w:ascii="Times New Roman" w:hAnsi="Times New Roman" w:cs="Times New Roman"/>
          <w:sz w:val="20"/>
          <w:szCs w:val="20"/>
        </w:rPr>
      </w:pPr>
      <w:r w:rsidRPr="006152DF">
        <w:rPr>
          <w:rFonts w:ascii="Times New Roman" w:hAnsi="Times New Roman" w:cs="Times New Roman"/>
          <w:bCs/>
          <w:iCs/>
          <w:sz w:val="20"/>
          <w:szCs w:val="20"/>
        </w:rPr>
        <w:t xml:space="preserve">In the 5-year model, subjects transitioned through the following monthly states: response to the treatment, progression of the disease, minor complications, severe complications, and death. </w:t>
      </w:r>
      <w:r w:rsidR="006027BC">
        <w:rPr>
          <w:rFonts w:ascii="Times New Roman" w:hAnsi="Times New Roman" w:cs="Times New Roman"/>
          <w:bCs/>
          <w:iCs/>
          <w:sz w:val="20"/>
          <w:szCs w:val="20"/>
        </w:rPr>
        <w:t xml:space="preserve"> </w:t>
      </w:r>
      <w:r w:rsidR="0045600D" w:rsidRPr="006152DF">
        <w:rPr>
          <w:rFonts w:ascii="Times New Roman" w:hAnsi="Times New Roman" w:cs="Times New Roman"/>
          <w:sz w:val="20"/>
          <w:szCs w:val="20"/>
        </w:rPr>
        <w:t xml:space="preserve">Figure 1 shows the Markov diagram with the possible movements from a state indicated by outward arrows. </w:t>
      </w:r>
    </w:p>
    <w:p w:rsidR="0045600D" w:rsidRPr="006152DF" w:rsidRDefault="0045600D" w:rsidP="006152DF">
      <w:pPr>
        <w:spacing w:after="0" w:line="240" w:lineRule="auto"/>
        <w:jc w:val="both"/>
        <w:rPr>
          <w:rFonts w:ascii="Times New Roman" w:hAnsi="Times New Roman" w:cs="Times New Roman"/>
          <w:b/>
          <w:sz w:val="20"/>
          <w:szCs w:val="20"/>
        </w:rPr>
      </w:pPr>
    </w:p>
    <w:p w:rsidR="00DC6585" w:rsidRPr="00032C2F" w:rsidRDefault="006027BC" w:rsidP="00C52715">
      <w:pPr>
        <w:spacing w:after="0" w:line="240" w:lineRule="auto"/>
        <w:ind w:firstLine="720"/>
        <w:jc w:val="both"/>
        <w:rPr>
          <w:rFonts w:ascii="Times New Roman" w:hAnsi="Times New Roman" w:cs="Times New Roman"/>
          <w:b/>
          <w:sz w:val="20"/>
          <w:szCs w:val="20"/>
        </w:rPr>
      </w:pPr>
      <w:r w:rsidRPr="00032C2F">
        <w:rPr>
          <w:rFonts w:ascii="Times New Roman" w:hAnsi="Times New Roman" w:cs="Times New Roman"/>
          <w:sz w:val="20"/>
          <w:szCs w:val="20"/>
        </w:rPr>
        <w:t>Circular arrows indicate that patients can stay in that state with some probability for more than one cycle. ‘Die’ (or death) is an absorbing state, which means that once a patient enters that state she will never leave that state. As time passes, most of the patients will go to the ‘die’ state.</w:t>
      </w:r>
      <w:r w:rsidRPr="00032C2F">
        <w:rPr>
          <w:rFonts w:ascii="Times New Roman" w:hAnsi="Times New Roman" w:cs="Times New Roman"/>
          <w:b/>
          <w:sz w:val="20"/>
          <w:szCs w:val="20"/>
        </w:rPr>
        <w:t xml:space="preserve"> </w:t>
      </w:r>
      <w:r w:rsidRPr="006152DF">
        <w:rPr>
          <w:rFonts w:ascii="Times New Roman" w:hAnsi="Times New Roman" w:cs="Times New Roman"/>
          <w:sz w:val="20"/>
          <w:szCs w:val="20"/>
        </w:rPr>
        <w:t>At the beginning of the analysis, patients all started in the “Respond” state. Since a treatment cycle of chemotherapy lasts about 3 weeks, plus some extra time for scheduling or other time lapses, we modeled a patient as moving from one state to another (or staying in the current state) each month. The analysis was run for 5 years, so there were 60 months (5 years times 12 months/year).</w:t>
      </w:r>
    </w:p>
    <w:p w:rsidR="005C0BC1" w:rsidRDefault="005C0BC1" w:rsidP="005C0BC1">
      <w:pPr>
        <w:spacing w:line="240" w:lineRule="auto"/>
        <w:jc w:val="both"/>
        <w:rPr>
          <w:rFonts w:ascii="Times New Roman" w:hAnsi="Times New Roman" w:cs="Times New Roman"/>
          <w:b/>
          <w:sz w:val="20"/>
          <w:szCs w:val="20"/>
        </w:rPr>
      </w:pPr>
    </w:p>
    <w:p w:rsidR="005C0BC1" w:rsidRDefault="005C0BC1" w:rsidP="005C0BC1">
      <w:pPr>
        <w:spacing w:line="240" w:lineRule="auto"/>
        <w:jc w:val="both"/>
        <w:rPr>
          <w:rFonts w:ascii="Times New Roman" w:hAnsi="Times New Roman" w:cs="Times New Roman"/>
          <w:b/>
          <w:sz w:val="20"/>
          <w:szCs w:val="20"/>
        </w:rPr>
      </w:pPr>
    </w:p>
    <w:p w:rsidR="005C0BC1" w:rsidRPr="00032C2F" w:rsidRDefault="005C0BC1" w:rsidP="005C0BC1">
      <w:pPr>
        <w:spacing w:line="240" w:lineRule="auto"/>
        <w:jc w:val="both"/>
        <w:rPr>
          <w:rFonts w:ascii="Times New Roman" w:hAnsi="Times New Roman" w:cs="Times New Roman"/>
          <w:b/>
          <w:sz w:val="20"/>
          <w:szCs w:val="20"/>
        </w:rPr>
      </w:pPr>
      <w:r w:rsidRPr="00032C2F">
        <w:rPr>
          <w:rFonts w:ascii="Times New Roman" w:hAnsi="Times New Roman" w:cs="Times New Roman"/>
          <w:b/>
          <w:sz w:val="20"/>
          <w:szCs w:val="20"/>
        </w:rPr>
        <w:lastRenderedPageBreak/>
        <w:t>Figure 1</w:t>
      </w:r>
      <w:r>
        <w:rPr>
          <w:rFonts w:ascii="Times New Roman" w:hAnsi="Times New Roman" w:cs="Times New Roman"/>
          <w:b/>
          <w:sz w:val="20"/>
          <w:szCs w:val="20"/>
        </w:rPr>
        <w:t>.</w:t>
      </w:r>
      <w:r w:rsidRPr="00032C2F">
        <w:rPr>
          <w:rFonts w:ascii="Times New Roman" w:hAnsi="Times New Roman" w:cs="Times New Roman"/>
          <w:b/>
          <w:sz w:val="20"/>
          <w:szCs w:val="20"/>
        </w:rPr>
        <w:t xml:space="preserve"> Markov diagram for women with advanced cervical cancer (Minion et al</w:t>
      </w:r>
      <w:r>
        <w:rPr>
          <w:rFonts w:ascii="Times New Roman" w:hAnsi="Times New Roman" w:cs="Times New Roman"/>
          <w:b/>
          <w:sz w:val="20"/>
          <w:szCs w:val="20"/>
        </w:rPr>
        <w:t>.</w:t>
      </w:r>
      <w:r w:rsidRPr="00032C2F">
        <w:rPr>
          <w:rFonts w:ascii="Times New Roman" w:hAnsi="Times New Roman" w:cs="Times New Roman"/>
          <w:b/>
          <w:sz w:val="20"/>
          <w:szCs w:val="20"/>
        </w:rPr>
        <w:t xml:space="preserve"> 2015)</w:t>
      </w:r>
    </w:p>
    <w:p w:rsidR="002D7433" w:rsidRDefault="005C0BC1" w:rsidP="005C0BC1">
      <w:pPr>
        <w:spacing w:after="0" w:line="240" w:lineRule="auto"/>
        <w:jc w:val="both"/>
        <w:rPr>
          <w:rFonts w:ascii="Times New Roman" w:hAnsi="Times New Roman" w:cs="Times New Roman"/>
          <w:bCs/>
          <w:iCs/>
          <w:sz w:val="20"/>
          <w:szCs w:val="20"/>
        </w:rPr>
      </w:pPr>
      <w:r>
        <w:rPr>
          <w:rFonts w:ascii="Times New Roman" w:hAnsi="Times New Roman" w:cs="Times New Roman"/>
          <w:b/>
          <w:sz w:val="20"/>
          <w:szCs w:val="20"/>
        </w:rPr>
        <w:t xml:space="preserve">                                               </w:t>
      </w:r>
      <w:r w:rsidRPr="00032C2F">
        <w:rPr>
          <w:rFonts w:ascii="Times New Roman" w:eastAsia="Times New Roman" w:hAnsi="Times New Roman" w:cs="Times New Roman"/>
          <w:noProof/>
          <w:sz w:val="20"/>
          <w:szCs w:val="20"/>
        </w:rPr>
        <w:drawing>
          <wp:inline distT="0" distB="0" distL="0" distR="0" wp14:anchorId="67DF3459" wp14:editId="78E839DB">
            <wp:extent cx="2662001" cy="1363013"/>
            <wp:effectExtent l="0" t="0" r="5080" b="8890"/>
            <wp:docPr id="6" name="Picture 6" descr="C:\Users\Primary\AppData\Roaming\Tencent\Users\285891716\QQ\WinTemp\RichOle\N_]UU0B{_VDI]T1[IUYIO4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mary\AppData\Roaming\Tencent\Users\285891716\QQ\WinTemp\RichOle\N_]UU0B{_VDI]T1[IUYIO4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882" cy="1375753"/>
                    </a:xfrm>
                    <a:prstGeom prst="rect">
                      <a:avLst/>
                    </a:prstGeom>
                    <a:noFill/>
                    <a:ln>
                      <a:noFill/>
                    </a:ln>
                  </pic:spPr>
                </pic:pic>
              </a:graphicData>
            </a:graphic>
          </wp:inline>
        </w:drawing>
      </w:r>
    </w:p>
    <w:p w:rsidR="005C0BC1" w:rsidRDefault="005C0BC1" w:rsidP="0045600D">
      <w:pPr>
        <w:spacing w:after="0" w:line="240" w:lineRule="auto"/>
        <w:jc w:val="both"/>
        <w:rPr>
          <w:rFonts w:ascii="Times New Roman" w:hAnsi="Times New Roman" w:cs="Times New Roman"/>
          <w:bCs/>
          <w:iCs/>
          <w:sz w:val="20"/>
          <w:szCs w:val="20"/>
        </w:rPr>
      </w:pPr>
    </w:p>
    <w:p w:rsidR="0045600D" w:rsidRDefault="0045600D" w:rsidP="0045600D">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Section 2. Costs of Treatment and Complications</w:t>
      </w:r>
      <w:r w:rsidR="006152DF">
        <w:rPr>
          <w:rFonts w:ascii="Times New Roman" w:hAnsi="Times New Roman" w:cs="Times New Roman"/>
          <w:bCs/>
          <w:iCs/>
          <w:sz w:val="20"/>
          <w:szCs w:val="20"/>
        </w:rPr>
        <w:t xml:space="preserve"> in US dollars </w:t>
      </w:r>
      <w:r>
        <w:rPr>
          <w:rFonts w:ascii="Times New Roman" w:hAnsi="Times New Roman" w:cs="Times New Roman"/>
          <w:bCs/>
          <w:iCs/>
          <w:sz w:val="20"/>
          <w:szCs w:val="20"/>
        </w:rPr>
        <w:t>from the</w:t>
      </w:r>
      <w:r w:rsidRPr="00DC6585">
        <w:rPr>
          <w:rFonts w:ascii="Times New Roman" w:hAnsi="Times New Roman" w:cs="Times New Roman"/>
          <w:bCs/>
          <w:iCs/>
          <w:sz w:val="20"/>
          <w:szCs w:val="20"/>
        </w:rPr>
        <w:t xml:space="preserve"> 2013 US MediCare Services Drug Payment Table and Physician Fee Schedule.</w:t>
      </w:r>
    </w:p>
    <w:p w:rsidR="0045600D" w:rsidRDefault="0045600D" w:rsidP="0045600D">
      <w:pPr>
        <w:spacing w:after="0" w:line="240" w:lineRule="auto"/>
        <w:jc w:val="both"/>
        <w:rPr>
          <w:rFonts w:ascii="Times New Roman" w:hAnsi="Times New Roman" w:cs="Times New Roman"/>
          <w:bCs/>
          <w:iCs/>
          <w:sz w:val="20"/>
          <w:szCs w:val="20"/>
        </w:rPr>
      </w:pPr>
    </w:p>
    <w:p w:rsidR="002D7433" w:rsidRDefault="0045600D" w:rsidP="0045600D">
      <w:pPr>
        <w:rPr>
          <w:rFonts w:ascii="Times New Roman" w:hAnsi="Times New Roman" w:cs="Times New Roman"/>
          <w:b/>
          <w:sz w:val="20"/>
          <w:szCs w:val="20"/>
        </w:rPr>
      </w:pPr>
      <w:r w:rsidRPr="0045600D">
        <w:rPr>
          <w:rFonts w:ascii="Times New Roman" w:hAnsi="Times New Roman" w:cs="Times New Roman"/>
          <w:b/>
          <w:sz w:val="20"/>
          <w:szCs w:val="20"/>
        </w:rPr>
        <w:t>Table 1. Cost for cancer therapy and management of complications</w:t>
      </w:r>
      <w:r w:rsidR="00C52715">
        <w:rPr>
          <w:rFonts w:ascii="Times New Roman" w:hAnsi="Times New Roman" w:cs="Times New Roman"/>
          <w:b/>
          <w:sz w:val="20"/>
          <w:szCs w:val="20"/>
        </w:rPr>
        <w:t xml:space="preserve"> </w:t>
      </w:r>
      <w:r w:rsidR="00C52715" w:rsidRPr="0045600D">
        <w:rPr>
          <w:rFonts w:ascii="Times New Roman" w:hAnsi="Times New Roman" w:cs="Times New Roman"/>
          <w:b/>
          <w:sz w:val="20"/>
          <w:szCs w:val="20"/>
        </w:rPr>
        <w:t>(Minion et al</w:t>
      </w:r>
      <w:r w:rsidR="00C63E61">
        <w:rPr>
          <w:rFonts w:ascii="Times New Roman" w:hAnsi="Times New Roman" w:cs="Times New Roman"/>
          <w:b/>
          <w:sz w:val="20"/>
          <w:szCs w:val="20"/>
        </w:rPr>
        <w:t>.</w:t>
      </w:r>
      <w:r w:rsidR="00C52715" w:rsidRPr="0045600D">
        <w:rPr>
          <w:rFonts w:ascii="Times New Roman" w:hAnsi="Times New Roman" w:cs="Times New Roman"/>
          <w:b/>
          <w:sz w:val="20"/>
          <w:szCs w:val="20"/>
        </w:rPr>
        <w:t xml:space="preserve"> 2015)</w:t>
      </w:r>
    </w:p>
    <w:tbl>
      <w:tblPr>
        <w:tblStyle w:val="TableGrid"/>
        <w:tblW w:w="9213" w:type="dxa"/>
        <w:jc w:val="center"/>
        <w:tblInd w:w="-901" w:type="dxa"/>
        <w:tblLayout w:type="fixed"/>
        <w:tblLook w:val="04A0" w:firstRow="1" w:lastRow="0" w:firstColumn="1" w:lastColumn="0" w:noHBand="0" w:noVBand="1"/>
      </w:tblPr>
      <w:tblGrid>
        <w:gridCol w:w="2177"/>
        <w:gridCol w:w="1530"/>
        <w:gridCol w:w="1980"/>
        <w:gridCol w:w="1456"/>
        <w:gridCol w:w="2070"/>
      </w:tblGrid>
      <w:tr w:rsidR="0045600D" w:rsidRPr="00924839" w:rsidTr="002D7433">
        <w:trPr>
          <w:trHeight w:val="278"/>
          <w:jc w:val="center"/>
        </w:trPr>
        <w:tc>
          <w:tcPr>
            <w:tcW w:w="2177" w:type="dxa"/>
          </w:tcPr>
          <w:p w:rsidR="0045600D" w:rsidRPr="00924839" w:rsidRDefault="0045600D" w:rsidP="005F2206">
            <w:pPr>
              <w:jc w:val="center"/>
              <w:rPr>
                <w:rFonts w:ascii="Times New Roman" w:hAnsi="Times New Roman" w:cs="Times New Roman"/>
                <w:b/>
                <w:sz w:val="18"/>
                <w:szCs w:val="18"/>
              </w:rPr>
            </w:pPr>
            <w:r w:rsidRPr="00924839">
              <w:rPr>
                <w:rFonts w:ascii="Times New Roman" w:hAnsi="Times New Roman" w:cs="Times New Roman"/>
                <w:b/>
                <w:sz w:val="18"/>
                <w:szCs w:val="18"/>
              </w:rPr>
              <w:t>HEALTH STATES</w:t>
            </w:r>
          </w:p>
        </w:tc>
        <w:tc>
          <w:tcPr>
            <w:tcW w:w="3510" w:type="dxa"/>
            <w:gridSpan w:val="2"/>
          </w:tcPr>
          <w:p w:rsidR="0045600D" w:rsidRPr="00924839" w:rsidRDefault="0045600D" w:rsidP="005F2206">
            <w:pPr>
              <w:jc w:val="center"/>
              <w:rPr>
                <w:rFonts w:ascii="Times New Roman" w:hAnsi="Times New Roman" w:cs="Times New Roman"/>
                <w:b/>
                <w:sz w:val="18"/>
                <w:szCs w:val="18"/>
              </w:rPr>
            </w:pPr>
            <w:r w:rsidRPr="00924839">
              <w:rPr>
                <w:rFonts w:ascii="Times New Roman" w:hAnsi="Times New Roman" w:cs="Times New Roman"/>
                <w:b/>
                <w:sz w:val="18"/>
                <w:szCs w:val="18"/>
              </w:rPr>
              <w:t>CHEMORx ONLY</w:t>
            </w:r>
          </w:p>
        </w:tc>
        <w:tc>
          <w:tcPr>
            <w:tcW w:w="3526" w:type="dxa"/>
            <w:gridSpan w:val="2"/>
          </w:tcPr>
          <w:p w:rsidR="0045600D" w:rsidRPr="00924839" w:rsidRDefault="0045600D" w:rsidP="002D7433">
            <w:pPr>
              <w:jc w:val="center"/>
              <w:rPr>
                <w:rFonts w:ascii="Times New Roman" w:hAnsi="Times New Roman" w:cs="Times New Roman"/>
                <w:b/>
                <w:sz w:val="18"/>
                <w:szCs w:val="18"/>
              </w:rPr>
            </w:pPr>
            <w:r w:rsidRPr="00924839">
              <w:rPr>
                <w:rFonts w:ascii="Times New Roman" w:hAnsi="Times New Roman" w:cs="Times New Roman"/>
                <w:b/>
                <w:sz w:val="18"/>
                <w:szCs w:val="18"/>
              </w:rPr>
              <w:t>CHEMORx+BEVACIZUMAB</w:t>
            </w:r>
          </w:p>
        </w:tc>
      </w:tr>
      <w:tr w:rsidR="0045600D" w:rsidRPr="00924839" w:rsidTr="00B672CC">
        <w:trPr>
          <w:jc w:val="center"/>
        </w:trPr>
        <w:tc>
          <w:tcPr>
            <w:tcW w:w="2177"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Cancer Therapy*</w:t>
            </w:r>
          </w:p>
        </w:tc>
        <w:tc>
          <w:tcPr>
            <w:tcW w:w="3510" w:type="dxa"/>
            <w:gridSpan w:val="2"/>
          </w:tcPr>
          <w:p w:rsidR="0045600D" w:rsidRPr="00924839" w:rsidRDefault="0045600D" w:rsidP="005F2206">
            <w:pPr>
              <w:jc w:val="center"/>
              <w:rPr>
                <w:rFonts w:ascii="Times New Roman" w:hAnsi="Times New Roman" w:cs="Times New Roman"/>
                <w:sz w:val="18"/>
                <w:szCs w:val="18"/>
              </w:rPr>
            </w:pPr>
            <w:r w:rsidRPr="00924839">
              <w:rPr>
                <w:rFonts w:ascii="Times New Roman" w:hAnsi="Times New Roman" w:cs="Times New Roman"/>
                <w:sz w:val="18"/>
                <w:szCs w:val="18"/>
              </w:rPr>
              <w:t>$524</w:t>
            </w:r>
          </w:p>
        </w:tc>
        <w:tc>
          <w:tcPr>
            <w:tcW w:w="3526" w:type="dxa"/>
            <w:gridSpan w:val="2"/>
          </w:tcPr>
          <w:p w:rsidR="0045600D" w:rsidRPr="00924839" w:rsidRDefault="0045600D" w:rsidP="005F2206">
            <w:pPr>
              <w:jc w:val="center"/>
              <w:rPr>
                <w:rFonts w:ascii="Times New Roman" w:hAnsi="Times New Roman" w:cs="Times New Roman"/>
                <w:sz w:val="18"/>
                <w:szCs w:val="18"/>
              </w:rPr>
            </w:pPr>
            <w:r w:rsidRPr="00924839">
              <w:rPr>
                <w:rFonts w:ascii="Times New Roman" w:hAnsi="Times New Roman" w:cs="Times New Roman"/>
                <w:sz w:val="18"/>
                <w:szCs w:val="18"/>
              </w:rPr>
              <w:t>$7,540</w:t>
            </w:r>
          </w:p>
        </w:tc>
      </w:tr>
      <w:tr w:rsidR="0045600D" w:rsidRPr="00924839" w:rsidTr="00B672CC">
        <w:trPr>
          <w:jc w:val="center"/>
        </w:trPr>
        <w:tc>
          <w:tcPr>
            <w:tcW w:w="2177"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Treatment of Hypertension**</w:t>
            </w:r>
          </w:p>
        </w:tc>
        <w:tc>
          <w:tcPr>
            <w:tcW w:w="3510" w:type="dxa"/>
            <w:gridSpan w:val="2"/>
          </w:tcPr>
          <w:p w:rsidR="0045600D" w:rsidRPr="00924839" w:rsidRDefault="0045600D" w:rsidP="005F2206">
            <w:pPr>
              <w:jc w:val="center"/>
              <w:rPr>
                <w:rFonts w:ascii="Times New Roman" w:hAnsi="Times New Roman" w:cs="Times New Roman"/>
                <w:sz w:val="18"/>
                <w:szCs w:val="18"/>
              </w:rPr>
            </w:pPr>
            <w:r w:rsidRPr="00924839">
              <w:rPr>
                <w:rFonts w:ascii="Times New Roman" w:hAnsi="Times New Roman" w:cs="Times New Roman"/>
                <w:sz w:val="18"/>
                <w:szCs w:val="18"/>
              </w:rPr>
              <w:t>$285</w:t>
            </w:r>
          </w:p>
        </w:tc>
        <w:tc>
          <w:tcPr>
            <w:tcW w:w="3526" w:type="dxa"/>
            <w:gridSpan w:val="2"/>
          </w:tcPr>
          <w:p w:rsidR="0045600D" w:rsidRPr="00924839" w:rsidRDefault="0045600D" w:rsidP="005F2206">
            <w:pPr>
              <w:jc w:val="center"/>
              <w:rPr>
                <w:rFonts w:ascii="Times New Roman" w:hAnsi="Times New Roman" w:cs="Times New Roman"/>
                <w:sz w:val="18"/>
                <w:szCs w:val="18"/>
              </w:rPr>
            </w:pPr>
            <w:r w:rsidRPr="00924839">
              <w:rPr>
                <w:rFonts w:ascii="Times New Roman" w:hAnsi="Times New Roman" w:cs="Times New Roman"/>
                <w:sz w:val="18"/>
                <w:szCs w:val="18"/>
              </w:rPr>
              <w:t>$285</w:t>
            </w:r>
          </w:p>
        </w:tc>
      </w:tr>
      <w:tr w:rsidR="0045600D" w:rsidRPr="00924839" w:rsidTr="00B672CC">
        <w:trPr>
          <w:jc w:val="center"/>
        </w:trPr>
        <w:tc>
          <w:tcPr>
            <w:tcW w:w="2177"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Weighted Thromboembolism***</w:t>
            </w:r>
          </w:p>
        </w:tc>
        <w:tc>
          <w:tcPr>
            <w:tcW w:w="3510" w:type="dxa"/>
            <w:gridSpan w:val="2"/>
          </w:tcPr>
          <w:p w:rsidR="0045600D" w:rsidRPr="00924839" w:rsidRDefault="0045600D" w:rsidP="005F2206">
            <w:pPr>
              <w:jc w:val="center"/>
              <w:rPr>
                <w:rFonts w:ascii="Times New Roman" w:hAnsi="Times New Roman" w:cs="Times New Roman"/>
                <w:sz w:val="18"/>
                <w:szCs w:val="18"/>
              </w:rPr>
            </w:pPr>
            <w:r w:rsidRPr="00924839">
              <w:rPr>
                <w:rFonts w:ascii="Times New Roman" w:hAnsi="Times New Roman" w:cs="Times New Roman"/>
                <w:sz w:val="18"/>
                <w:szCs w:val="18"/>
              </w:rPr>
              <w:t>$4,261 x 3/4</w:t>
            </w:r>
          </w:p>
        </w:tc>
        <w:tc>
          <w:tcPr>
            <w:tcW w:w="3526" w:type="dxa"/>
            <w:gridSpan w:val="2"/>
          </w:tcPr>
          <w:p w:rsidR="0045600D" w:rsidRPr="00924839" w:rsidRDefault="0045600D" w:rsidP="005F2206">
            <w:pPr>
              <w:jc w:val="center"/>
              <w:rPr>
                <w:rFonts w:ascii="Times New Roman" w:hAnsi="Times New Roman" w:cs="Times New Roman"/>
                <w:sz w:val="18"/>
                <w:szCs w:val="18"/>
              </w:rPr>
            </w:pPr>
            <w:r w:rsidRPr="00924839">
              <w:rPr>
                <w:rFonts w:ascii="Times New Roman" w:hAnsi="Times New Roman" w:cs="Times New Roman"/>
                <w:sz w:val="18"/>
                <w:szCs w:val="18"/>
              </w:rPr>
              <w:t>$4,261 x 18/31</w:t>
            </w:r>
          </w:p>
        </w:tc>
      </w:tr>
      <w:tr w:rsidR="0045600D" w:rsidRPr="00924839" w:rsidTr="00B672CC">
        <w:trPr>
          <w:jc w:val="center"/>
        </w:trPr>
        <w:tc>
          <w:tcPr>
            <w:tcW w:w="2177"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Weighted Fistula****</w:t>
            </w:r>
          </w:p>
        </w:tc>
        <w:tc>
          <w:tcPr>
            <w:tcW w:w="3510" w:type="dxa"/>
            <w:gridSpan w:val="2"/>
          </w:tcPr>
          <w:p w:rsidR="0045600D" w:rsidRPr="00924839" w:rsidRDefault="0045600D" w:rsidP="005F2206">
            <w:pPr>
              <w:jc w:val="center"/>
              <w:rPr>
                <w:rFonts w:ascii="Times New Roman" w:hAnsi="Times New Roman" w:cs="Times New Roman"/>
                <w:sz w:val="18"/>
                <w:szCs w:val="18"/>
              </w:rPr>
            </w:pPr>
            <w:r w:rsidRPr="00924839">
              <w:rPr>
                <w:rFonts w:ascii="Times New Roman" w:hAnsi="Times New Roman" w:cs="Times New Roman"/>
                <w:sz w:val="18"/>
                <w:szCs w:val="18"/>
              </w:rPr>
              <w:t>$16,000/3 x 1/4</w:t>
            </w:r>
          </w:p>
        </w:tc>
        <w:tc>
          <w:tcPr>
            <w:tcW w:w="3526" w:type="dxa"/>
            <w:gridSpan w:val="2"/>
          </w:tcPr>
          <w:p w:rsidR="0045600D" w:rsidRPr="00924839" w:rsidRDefault="0045600D" w:rsidP="005F2206">
            <w:pPr>
              <w:jc w:val="center"/>
              <w:rPr>
                <w:rFonts w:ascii="Times New Roman" w:hAnsi="Times New Roman" w:cs="Times New Roman"/>
                <w:sz w:val="18"/>
                <w:szCs w:val="18"/>
              </w:rPr>
            </w:pPr>
            <w:r w:rsidRPr="00924839">
              <w:rPr>
                <w:rFonts w:ascii="Times New Roman" w:hAnsi="Times New Roman" w:cs="Times New Roman"/>
                <w:sz w:val="18"/>
                <w:szCs w:val="18"/>
              </w:rPr>
              <w:t>$16,000/3 x 13/31</w:t>
            </w:r>
          </w:p>
        </w:tc>
      </w:tr>
      <w:tr w:rsidR="00B672CC" w:rsidRPr="00924839" w:rsidTr="00B672CC">
        <w:trPr>
          <w:jc w:val="center"/>
        </w:trPr>
        <w:tc>
          <w:tcPr>
            <w:tcW w:w="2177" w:type="dxa"/>
          </w:tcPr>
          <w:p w:rsidR="0045600D" w:rsidRPr="00924839" w:rsidRDefault="0045600D" w:rsidP="005F2206">
            <w:pPr>
              <w:rPr>
                <w:rFonts w:ascii="Times New Roman" w:hAnsi="Times New Roman" w:cs="Times New Roman"/>
                <w:sz w:val="18"/>
                <w:szCs w:val="18"/>
              </w:rPr>
            </w:pPr>
          </w:p>
        </w:tc>
        <w:tc>
          <w:tcPr>
            <w:tcW w:w="1530"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Total Cost per 28-Day Cycle</w:t>
            </w:r>
          </w:p>
        </w:tc>
        <w:tc>
          <w:tcPr>
            <w:tcW w:w="1980"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 xml:space="preserve">Cost Breakdown </w:t>
            </w:r>
          </w:p>
        </w:tc>
        <w:tc>
          <w:tcPr>
            <w:tcW w:w="1456"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Total Cost per 28-Day Cycle</w:t>
            </w:r>
          </w:p>
        </w:tc>
        <w:tc>
          <w:tcPr>
            <w:tcW w:w="2070"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Cost</w:t>
            </w:r>
          </w:p>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Breakdown</w:t>
            </w:r>
          </w:p>
        </w:tc>
      </w:tr>
      <w:tr w:rsidR="00B672CC" w:rsidRPr="00924839" w:rsidTr="00B672CC">
        <w:trPr>
          <w:jc w:val="center"/>
        </w:trPr>
        <w:tc>
          <w:tcPr>
            <w:tcW w:w="2177"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 xml:space="preserve">Respond </w:t>
            </w:r>
          </w:p>
        </w:tc>
        <w:tc>
          <w:tcPr>
            <w:tcW w:w="1530" w:type="dxa"/>
          </w:tcPr>
          <w:p w:rsidR="0045600D" w:rsidRPr="00924839" w:rsidRDefault="0045600D" w:rsidP="0045600D">
            <w:pPr>
              <w:jc w:val="center"/>
              <w:rPr>
                <w:rFonts w:ascii="Times New Roman" w:hAnsi="Times New Roman" w:cs="Times New Roman"/>
                <w:sz w:val="18"/>
                <w:szCs w:val="18"/>
              </w:rPr>
            </w:pPr>
            <w:r w:rsidRPr="00924839">
              <w:rPr>
                <w:rFonts w:ascii="Times New Roman" w:hAnsi="Times New Roman" w:cs="Times New Roman"/>
                <w:sz w:val="18"/>
                <w:szCs w:val="18"/>
              </w:rPr>
              <w:t>$524</w:t>
            </w:r>
          </w:p>
        </w:tc>
        <w:tc>
          <w:tcPr>
            <w:tcW w:w="1980" w:type="dxa"/>
          </w:tcPr>
          <w:p w:rsidR="0045600D" w:rsidRPr="00924839" w:rsidRDefault="0045600D" w:rsidP="005F2206">
            <w:pPr>
              <w:rPr>
                <w:rFonts w:ascii="Times New Roman" w:hAnsi="Times New Roman" w:cs="Times New Roman"/>
                <w:sz w:val="18"/>
                <w:szCs w:val="18"/>
              </w:rPr>
            </w:pPr>
          </w:p>
        </w:tc>
        <w:tc>
          <w:tcPr>
            <w:tcW w:w="1456" w:type="dxa"/>
          </w:tcPr>
          <w:p w:rsidR="0045600D" w:rsidRPr="00924839" w:rsidRDefault="0045600D" w:rsidP="0045600D">
            <w:pPr>
              <w:jc w:val="center"/>
              <w:rPr>
                <w:rFonts w:ascii="Times New Roman" w:hAnsi="Times New Roman" w:cs="Times New Roman"/>
                <w:sz w:val="18"/>
                <w:szCs w:val="18"/>
              </w:rPr>
            </w:pPr>
            <w:r w:rsidRPr="00924839">
              <w:rPr>
                <w:rFonts w:ascii="Times New Roman" w:hAnsi="Times New Roman" w:cs="Times New Roman"/>
                <w:sz w:val="18"/>
                <w:szCs w:val="18"/>
              </w:rPr>
              <w:t>$7,540</w:t>
            </w:r>
          </w:p>
        </w:tc>
        <w:tc>
          <w:tcPr>
            <w:tcW w:w="2070" w:type="dxa"/>
          </w:tcPr>
          <w:p w:rsidR="0045600D" w:rsidRPr="00924839" w:rsidRDefault="0045600D" w:rsidP="005F2206">
            <w:pPr>
              <w:rPr>
                <w:rFonts w:ascii="Times New Roman" w:hAnsi="Times New Roman" w:cs="Times New Roman"/>
                <w:sz w:val="18"/>
                <w:szCs w:val="18"/>
              </w:rPr>
            </w:pPr>
          </w:p>
        </w:tc>
      </w:tr>
      <w:tr w:rsidR="00B672CC" w:rsidRPr="00924839" w:rsidTr="00B672CC">
        <w:trPr>
          <w:jc w:val="center"/>
        </w:trPr>
        <w:tc>
          <w:tcPr>
            <w:tcW w:w="2177"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 xml:space="preserve">Progress </w:t>
            </w:r>
          </w:p>
        </w:tc>
        <w:tc>
          <w:tcPr>
            <w:tcW w:w="1530" w:type="dxa"/>
          </w:tcPr>
          <w:p w:rsidR="0045600D" w:rsidRPr="00924839" w:rsidRDefault="0045600D" w:rsidP="0045600D">
            <w:pPr>
              <w:jc w:val="center"/>
              <w:rPr>
                <w:rFonts w:ascii="Times New Roman" w:hAnsi="Times New Roman" w:cs="Times New Roman"/>
                <w:sz w:val="18"/>
                <w:szCs w:val="18"/>
              </w:rPr>
            </w:pPr>
            <w:r w:rsidRPr="00924839">
              <w:rPr>
                <w:rFonts w:ascii="Times New Roman" w:hAnsi="Times New Roman" w:cs="Times New Roman"/>
                <w:sz w:val="18"/>
                <w:szCs w:val="18"/>
              </w:rPr>
              <w:t>$262</w:t>
            </w:r>
          </w:p>
        </w:tc>
        <w:tc>
          <w:tcPr>
            <w:tcW w:w="1980" w:type="dxa"/>
          </w:tcPr>
          <w:p w:rsidR="0045600D" w:rsidRPr="00924839" w:rsidRDefault="0045600D" w:rsidP="005F2206">
            <w:pPr>
              <w:rPr>
                <w:rFonts w:ascii="Times New Roman" w:hAnsi="Times New Roman" w:cs="Times New Roman"/>
                <w:sz w:val="18"/>
                <w:szCs w:val="18"/>
              </w:rPr>
            </w:pPr>
          </w:p>
        </w:tc>
        <w:tc>
          <w:tcPr>
            <w:tcW w:w="1456" w:type="dxa"/>
          </w:tcPr>
          <w:p w:rsidR="0045600D" w:rsidRPr="00924839" w:rsidRDefault="0045600D" w:rsidP="0045600D">
            <w:pPr>
              <w:jc w:val="center"/>
              <w:rPr>
                <w:rFonts w:ascii="Times New Roman" w:hAnsi="Times New Roman" w:cs="Times New Roman"/>
                <w:sz w:val="18"/>
                <w:szCs w:val="18"/>
              </w:rPr>
            </w:pPr>
            <w:r w:rsidRPr="00924839">
              <w:rPr>
                <w:rFonts w:ascii="Times New Roman" w:hAnsi="Times New Roman" w:cs="Times New Roman"/>
                <w:sz w:val="18"/>
                <w:szCs w:val="18"/>
              </w:rPr>
              <w:t>$262</w:t>
            </w:r>
          </w:p>
        </w:tc>
        <w:tc>
          <w:tcPr>
            <w:tcW w:w="2070" w:type="dxa"/>
          </w:tcPr>
          <w:p w:rsidR="0045600D" w:rsidRPr="00924839" w:rsidRDefault="0045600D" w:rsidP="005F2206">
            <w:pPr>
              <w:rPr>
                <w:rFonts w:ascii="Times New Roman" w:hAnsi="Times New Roman" w:cs="Times New Roman"/>
                <w:sz w:val="18"/>
                <w:szCs w:val="18"/>
              </w:rPr>
            </w:pPr>
          </w:p>
        </w:tc>
      </w:tr>
      <w:tr w:rsidR="00B672CC" w:rsidRPr="00924839" w:rsidTr="006027BC">
        <w:trPr>
          <w:trHeight w:val="593"/>
          <w:jc w:val="center"/>
        </w:trPr>
        <w:tc>
          <w:tcPr>
            <w:tcW w:w="2177"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Limited complications</w:t>
            </w:r>
          </w:p>
        </w:tc>
        <w:tc>
          <w:tcPr>
            <w:tcW w:w="1530" w:type="dxa"/>
          </w:tcPr>
          <w:p w:rsidR="0045600D" w:rsidRPr="00924839" w:rsidRDefault="0045600D" w:rsidP="0045600D">
            <w:pPr>
              <w:jc w:val="center"/>
              <w:rPr>
                <w:rFonts w:ascii="Times New Roman" w:hAnsi="Times New Roman" w:cs="Times New Roman"/>
                <w:sz w:val="18"/>
                <w:szCs w:val="18"/>
              </w:rPr>
            </w:pPr>
            <w:r w:rsidRPr="00924839">
              <w:rPr>
                <w:rFonts w:ascii="Times New Roman" w:hAnsi="Times New Roman" w:cs="Times New Roman"/>
                <w:sz w:val="18"/>
                <w:szCs w:val="18"/>
              </w:rPr>
              <w:t>$809</w:t>
            </w:r>
          </w:p>
        </w:tc>
        <w:tc>
          <w:tcPr>
            <w:tcW w:w="1980" w:type="dxa"/>
          </w:tcPr>
          <w:p w:rsidR="0045600D" w:rsidRPr="00924839" w:rsidRDefault="0045600D" w:rsidP="005F2206">
            <w:pPr>
              <w:rPr>
                <w:rFonts w:ascii="Times New Roman" w:hAnsi="Times New Roman" w:cs="Times New Roman"/>
                <w:sz w:val="18"/>
                <w:szCs w:val="18"/>
              </w:rPr>
            </w:pPr>
            <w:r w:rsidRPr="00924839">
              <w:rPr>
                <w:rFonts w:ascii="Times New Roman" w:hAnsi="Times New Roman" w:cs="Times New Roman"/>
                <w:sz w:val="18"/>
                <w:szCs w:val="18"/>
              </w:rPr>
              <w:t xml:space="preserve">ChemoRx + Treatable hypertension </w:t>
            </w:r>
          </w:p>
        </w:tc>
        <w:tc>
          <w:tcPr>
            <w:tcW w:w="1456" w:type="dxa"/>
          </w:tcPr>
          <w:p w:rsidR="0045600D" w:rsidRPr="00924839" w:rsidRDefault="0045600D" w:rsidP="0045600D">
            <w:pPr>
              <w:jc w:val="center"/>
              <w:rPr>
                <w:rFonts w:ascii="Times New Roman" w:hAnsi="Times New Roman" w:cs="Times New Roman"/>
                <w:sz w:val="18"/>
                <w:szCs w:val="18"/>
              </w:rPr>
            </w:pPr>
            <w:r w:rsidRPr="00924839">
              <w:rPr>
                <w:rFonts w:ascii="Times New Roman" w:hAnsi="Times New Roman" w:cs="Times New Roman"/>
                <w:sz w:val="18"/>
                <w:szCs w:val="18"/>
              </w:rPr>
              <w:t>$7,825</w:t>
            </w:r>
          </w:p>
        </w:tc>
        <w:tc>
          <w:tcPr>
            <w:tcW w:w="2070" w:type="dxa"/>
          </w:tcPr>
          <w:p w:rsidR="0045600D" w:rsidRPr="00924839" w:rsidRDefault="0045600D" w:rsidP="005F2206">
            <w:pPr>
              <w:rPr>
                <w:rFonts w:ascii="Times New Roman" w:hAnsi="Times New Roman" w:cs="Times New Roman"/>
                <w:sz w:val="18"/>
                <w:szCs w:val="18"/>
              </w:rPr>
            </w:pPr>
            <w:r w:rsidRPr="00924839">
              <w:rPr>
                <w:rFonts w:ascii="Times New Roman" w:hAnsi="Times New Roman" w:cs="Times New Roman"/>
                <w:sz w:val="18"/>
                <w:szCs w:val="18"/>
              </w:rPr>
              <w:t>ChemoRx plus bevacizumab + Treatable hypertension</w:t>
            </w:r>
          </w:p>
        </w:tc>
      </w:tr>
      <w:tr w:rsidR="00B672CC" w:rsidRPr="00924839" w:rsidTr="006027BC">
        <w:trPr>
          <w:trHeight w:val="1070"/>
          <w:jc w:val="center"/>
        </w:trPr>
        <w:tc>
          <w:tcPr>
            <w:tcW w:w="2177"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Severe complications</w:t>
            </w:r>
          </w:p>
        </w:tc>
        <w:tc>
          <w:tcPr>
            <w:tcW w:w="1530" w:type="dxa"/>
          </w:tcPr>
          <w:p w:rsidR="0045600D" w:rsidRPr="00924839" w:rsidRDefault="0045600D" w:rsidP="0045600D">
            <w:pPr>
              <w:jc w:val="center"/>
              <w:rPr>
                <w:rFonts w:ascii="Times New Roman" w:hAnsi="Times New Roman" w:cs="Times New Roman"/>
                <w:sz w:val="18"/>
                <w:szCs w:val="18"/>
              </w:rPr>
            </w:pPr>
            <w:r w:rsidRPr="00924839">
              <w:rPr>
                <w:rFonts w:ascii="Times New Roman" w:hAnsi="Times New Roman" w:cs="Times New Roman"/>
                <w:sz w:val="18"/>
                <w:szCs w:val="18"/>
              </w:rPr>
              <w:t>$4,076</w:t>
            </w:r>
          </w:p>
        </w:tc>
        <w:tc>
          <w:tcPr>
            <w:tcW w:w="1980" w:type="dxa"/>
          </w:tcPr>
          <w:p w:rsidR="0045600D" w:rsidRPr="00924839" w:rsidRDefault="0045600D" w:rsidP="005F2206">
            <w:pPr>
              <w:rPr>
                <w:rFonts w:ascii="Times New Roman" w:hAnsi="Times New Roman" w:cs="Times New Roman"/>
                <w:sz w:val="18"/>
                <w:szCs w:val="18"/>
              </w:rPr>
            </w:pPr>
            <w:r w:rsidRPr="00924839">
              <w:rPr>
                <w:rFonts w:ascii="Times New Roman" w:hAnsi="Times New Roman" w:cs="Times New Roman"/>
                <w:sz w:val="18"/>
                <w:szCs w:val="18"/>
              </w:rPr>
              <w:t>Weighted thromboembolism+ Weighted fistula/expected number of cycles</w:t>
            </w:r>
          </w:p>
        </w:tc>
        <w:tc>
          <w:tcPr>
            <w:tcW w:w="1456" w:type="dxa"/>
          </w:tcPr>
          <w:p w:rsidR="0045600D" w:rsidRPr="00924839" w:rsidRDefault="0045600D" w:rsidP="0045600D">
            <w:pPr>
              <w:jc w:val="center"/>
              <w:rPr>
                <w:rFonts w:ascii="Times New Roman" w:hAnsi="Times New Roman" w:cs="Times New Roman"/>
                <w:sz w:val="18"/>
                <w:szCs w:val="18"/>
              </w:rPr>
            </w:pPr>
            <w:r w:rsidRPr="00924839">
              <w:rPr>
                <w:rFonts w:ascii="Times New Roman" w:hAnsi="Times New Roman" w:cs="Times New Roman"/>
                <w:sz w:val="18"/>
                <w:szCs w:val="18"/>
              </w:rPr>
              <w:t>$4,240</w:t>
            </w:r>
          </w:p>
        </w:tc>
        <w:tc>
          <w:tcPr>
            <w:tcW w:w="2070" w:type="dxa"/>
          </w:tcPr>
          <w:p w:rsidR="0045600D" w:rsidRPr="00924839" w:rsidRDefault="0045600D" w:rsidP="005F2206">
            <w:pPr>
              <w:rPr>
                <w:rFonts w:ascii="Times New Roman" w:hAnsi="Times New Roman" w:cs="Times New Roman"/>
                <w:sz w:val="18"/>
                <w:szCs w:val="18"/>
              </w:rPr>
            </w:pPr>
            <w:r w:rsidRPr="00924839">
              <w:rPr>
                <w:rFonts w:ascii="Times New Roman" w:hAnsi="Times New Roman" w:cs="Times New Roman"/>
                <w:sz w:val="18"/>
                <w:szCs w:val="18"/>
              </w:rPr>
              <w:t>Weighted thromboembolism + Weighted fistula/expected number of cycles</w:t>
            </w:r>
          </w:p>
        </w:tc>
      </w:tr>
      <w:tr w:rsidR="00B672CC" w:rsidRPr="00924839" w:rsidTr="00B672CC">
        <w:trPr>
          <w:jc w:val="center"/>
        </w:trPr>
        <w:tc>
          <w:tcPr>
            <w:tcW w:w="2177" w:type="dxa"/>
          </w:tcPr>
          <w:p w:rsidR="0045600D" w:rsidRPr="00924839" w:rsidRDefault="0045600D" w:rsidP="005F2206">
            <w:pPr>
              <w:rPr>
                <w:rFonts w:ascii="Times New Roman" w:hAnsi="Times New Roman" w:cs="Times New Roman"/>
                <w:b/>
                <w:sz w:val="18"/>
                <w:szCs w:val="18"/>
              </w:rPr>
            </w:pPr>
            <w:r w:rsidRPr="00924839">
              <w:rPr>
                <w:rFonts w:ascii="Times New Roman" w:hAnsi="Times New Roman" w:cs="Times New Roman"/>
                <w:b/>
                <w:sz w:val="18"/>
                <w:szCs w:val="18"/>
              </w:rPr>
              <w:t>Die</w:t>
            </w:r>
          </w:p>
        </w:tc>
        <w:tc>
          <w:tcPr>
            <w:tcW w:w="1530" w:type="dxa"/>
          </w:tcPr>
          <w:p w:rsidR="0045600D" w:rsidRPr="00924839" w:rsidRDefault="0045600D" w:rsidP="0045600D">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980" w:type="dxa"/>
          </w:tcPr>
          <w:p w:rsidR="0045600D" w:rsidRPr="00924839" w:rsidRDefault="0045600D" w:rsidP="005F2206">
            <w:pPr>
              <w:rPr>
                <w:rFonts w:ascii="Times New Roman" w:hAnsi="Times New Roman" w:cs="Times New Roman"/>
                <w:sz w:val="18"/>
                <w:szCs w:val="18"/>
              </w:rPr>
            </w:pPr>
            <w:r w:rsidRPr="00924839">
              <w:rPr>
                <w:rFonts w:ascii="Times New Roman" w:hAnsi="Times New Roman" w:cs="Times New Roman"/>
                <w:sz w:val="18"/>
                <w:szCs w:val="18"/>
              </w:rPr>
              <w:t>-</w:t>
            </w:r>
          </w:p>
        </w:tc>
        <w:tc>
          <w:tcPr>
            <w:tcW w:w="1456" w:type="dxa"/>
          </w:tcPr>
          <w:p w:rsidR="0045600D" w:rsidRPr="00924839" w:rsidRDefault="0045600D" w:rsidP="0045600D">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2070" w:type="dxa"/>
          </w:tcPr>
          <w:p w:rsidR="0045600D" w:rsidRPr="00924839" w:rsidRDefault="0045600D" w:rsidP="005F2206">
            <w:pPr>
              <w:rPr>
                <w:rFonts w:ascii="Times New Roman" w:hAnsi="Times New Roman" w:cs="Times New Roman"/>
                <w:sz w:val="18"/>
                <w:szCs w:val="18"/>
              </w:rPr>
            </w:pPr>
            <w:r w:rsidRPr="00924839">
              <w:rPr>
                <w:rFonts w:ascii="Times New Roman" w:hAnsi="Times New Roman" w:cs="Times New Roman"/>
                <w:sz w:val="18"/>
                <w:szCs w:val="18"/>
              </w:rPr>
              <w:t>-</w:t>
            </w:r>
          </w:p>
        </w:tc>
      </w:tr>
    </w:tbl>
    <w:p w:rsidR="0045600D" w:rsidRPr="00924839" w:rsidRDefault="001B2EEF" w:rsidP="001B2EEF">
      <w:pPr>
        <w:spacing w:after="0" w:line="240" w:lineRule="auto"/>
        <w:jc w:val="both"/>
        <w:rPr>
          <w:rFonts w:ascii="Times New Roman" w:hAnsi="Times New Roman" w:cs="Times New Roman"/>
          <w:sz w:val="18"/>
          <w:szCs w:val="18"/>
        </w:rPr>
      </w:pPr>
      <w:r w:rsidRPr="00924839">
        <w:rPr>
          <w:rFonts w:ascii="Times New Roman" w:hAnsi="Times New Roman" w:cs="Times New Roman"/>
          <w:sz w:val="18"/>
          <w:szCs w:val="18"/>
        </w:rPr>
        <w:t xml:space="preserve">Table notes: </w:t>
      </w:r>
      <w:r w:rsidR="0045600D" w:rsidRPr="00924839">
        <w:rPr>
          <w:rFonts w:ascii="Times New Roman" w:hAnsi="Times New Roman" w:cs="Times New Roman"/>
          <w:sz w:val="18"/>
          <w:szCs w:val="18"/>
        </w:rPr>
        <w:t xml:space="preserve">      *cost of chemo alone or chemo plus beva</w:t>
      </w:r>
      <w:r w:rsidR="00BF2944">
        <w:rPr>
          <w:rFonts w:ascii="Times New Roman" w:hAnsi="Times New Roman" w:cs="Times New Roman"/>
          <w:sz w:val="18"/>
          <w:szCs w:val="18"/>
        </w:rPr>
        <w:t>.</w:t>
      </w:r>
      <w:r w:rsidR="00CB3C0E" w:rsidRPr="00924839">
        <w:rPr>
          <w:rFonts w:ascii="Times New Roman" w:hAnsi="Times New Roman" w:cs="Times New Roman"/>
          <w:sz w:val="18"/>
          <w:szCs w:val="18"/>
        </w:rPr>
        <w:t xml:space="preserve">; </w:t>
      </w:r>
      <w:r w:rsidR="0045600D" w:rsidRPr="00924839">
        <w:rPr>
          <w:rFonts w:ascii="Times New Roman" w:hAnsi="Times New Roman" w:cs="Times New Roman"/>
          <w:sz w:val="18"/>
          <w:szCs w:val="18"/>
        </w:rPr>
        <w:t xml:space="preserve"> **cost of anti-hypertensive medication</w:t>
      </w:r>
      <w:r w:rsidR="00CB3C0E" w:rsidRPr="00924839">
        <w:rPr>
          <w:rFonts w:ascii="Times New Roman" w:hAnsi="Times New Roman" w:cs="Times New Roman"/>
          <w:sz w:val="18"/>
          <w:szCs w:val="18"/>
        </w:rPr>
        <w:t xml:space="preserve">; </w:t>
      </w:r>
      <w:r w:rsidR="0045600D" w:rsidRPr="00924839">
        <w:rPr>
          <w:rFonts w:ascii="Times New Roman" w:hAnsi="Times New Roman" w:cs="Times New Roman"/>
          <w:sz w:val="18"/>
          <w:szCs w:val="18"/>
        </w:rPr>
        <w:t xml:space="preserve">  ***cost of hospitalization, imaging studies, and anti-coagulation; weighted estimation based on analysis of adverse events from the primary manuscript</w:t>
      </w:r>
      <w:r w:rsidR="00CB3C0E" w:rsidRPr="00924839">
        <w:rPr>
          <w:rFonts w:ascii="Times New Roman" w:hAnsi="Times New Roman" w:cs="Times New Roman"/>
          <w:sz w:val="18"/>
          <w:szCs w:val="18"/>
        </w:rPr>
        <w:t xml:space="preserve">; </w:t>
      </w:r>
      <w:r w:rsidR="0045600D" w:rsidRPr="00924839">
        <w:rPr>
          <w:rFonts w:ascii="Times New Roman" w:hAnsi="Times New Roman" w:cs="Times New Roman"/>
          <w:sz w:val="18"/>
          <w:szCs w:val="18"/>
        </w:rPr>
        <w:t>****cost of imaging studies, colostomy and 3 days of hospitalization; weighted estimation based on analysis of adverse events</w:t>
      </w:r>
      <w:r w:rsidR="00CB3C0E" w:rsidRPr="00924839">
        <w:rPr>
          <w:rFonts w:ascii="Times New Roman" w:hAnsi="Times New Roman" w:cs="Times New Roman"/>
          <w:sz w:val="18"/>
          <w:szCs w:val="18"/>
        </w:rPr>
        <w:t>.</w:t>
      </w:r>
      <w:r w:rsidR="0045600D" w:rsidRPr="00924839">
        <w:rPr>
          <w:rFonts w:ascii="Times New Roman" w:hAnsi="Times New Roman" w:cs="Times New Roman"/>
          <w:sz w:val="18"/>
          <w:szCs w:val="18"/>
        </w:rPr>
        <w:t xml:space="preserve"> Note: </w:t>
      </w:r>
      <w:r w:rsidR="004720EF">
        <w:rPr>
          <w:rFonts w:ascii="Times New Roman" w:hAnsi="Times New Roman" w:cs="Times New Roman"/>
          <w:sz w:val="18"/>
          <w:szCs w:val="18"/>
        </w:rPr>
        <w:t>A</w:t>
      </w:r>
      <w:r w:rsidR="0045600D" w:rsidRPr="00924839">
        <w:rPr>
          <w:rFonts w:ascii="Times New Roman" w:hAnsi="Times New Roman" w:cs="Times New Roman"/>
          <w:sz w:val="18"/>
          <w:szCs w:val="18"/>
        </w:rPr>
        <w:t>pproximately 1 of every 3 patients who developed GI-vaginal fistula underwent fecal diversion via colostomy</w:t>
      </w:r>
      <w:r w:rsidR="004720EF">
        <w:rPr>
          <w:rFonts w:ascii="Times New Roman" w:hAnsi="Times New Roman" w:cs="Times New Roman"/>
          <w:sz w:val="18"/>
          <w:szCs w:val="18"/>
        </w:rPr>
        <w:t>.</w:t>
      </w:r>
    </w:p>
    <w:p w:rsidR="0045600D" w:rsidRDefault="0045600D" w:rsidP="00B672CC">
      <w:pPr>
        <w:spacing w:after="0" w:line="240" w:lineRule="auto"/>
        <w:rPr>
          <w:rFonts w:ascii="Times New Roman" w:hAnsi="Times New Roman" w:cs="Times New Roman"/>
        </w:rPr>
      </w:pPr>
    </w:p>
    <w:p w:rsidR="00B672CC" w:rsidRPr="00B672CC" w:rsidRDefault="00B672CC" w:rsidP="00B672CC">
      <w:pPr>
        <w:rPr>
          <w:rFonts w:ascii="Times New Roman" w:hAnsi="Times New Roman" w:cs="Times New Roman"/>
          <w:sz w:val="20"/>
          <w:szCs w:val="20"/>
        </w:rPr>
      </w:pPr>
      <w:r w:rsidRPr="00B672CC">
        <w:rPr>
          <w:rFonts w:ascii="Times New Roman" w:hAnsi="Times New Roman" w:cs="Times New Roman"/>
          <w:sz w:val="20"/>
          <w:szCs w:val="20"/>
        </w:rPr>
        <w:t xml:space="preserve">Section 3. </w:t>
      </w:r>
      <w:r w:rsidR="00BF2944">
        <w:rPr>
          <w:rFonts w:ascii="Times New Roman" w:hAnsi="Times New Roman" w:cs="Times New Roman"/>
          <w:sz w:val="20"/>
          <w:szCs w:val="20"/>
        </w:rPr>
        <w:t xml:space="preserve"> </w:t>
      </w:r>
      <w:r w:rsidRPr="00B672CC">
        <w:rPr>
          <w:rFonts w:ascii="Times New Roman" w:hAnsi="Times New Roman" w:cs="Times New Roman"/>
          <w:sz w:val="20"/>
          <w:szCs w:val="20"/>
        </w:rPr>
        <w:t>Monthly transition probabilities</w:t>
      </w:r>
      <w:r w:rsidRPr="00B672CC">
        <w:rPr>
          <w:rFonts w:ascii="Times New Roman" w:hAnsi="Times New Roman" w:cs="Times New Roman"/>
          <w:bCs/>
          <w:iCs/>
          <w:sz w:val="20"/>
          <w:szCs w:val="20"/>
        </w:rPr>
        <w:t xml:space="preserve"> estimated using recent clinical trial data</w:t>
      </w:r>
      <w:r w:rsidRPr="00B672CC">
        <w:rPr>
          <w:rFonts w:ascii="Times New Roman" w:hAnsi="Times New Roman" w:cs="Times New Roman"/>
          <w:bCs/>
          <w:iCs/>
          <w:sz w:val="20"/>
          <w:szCs w:val="20"/>
          <w:vertAlign w:val="superscript"/>
        </w:rPr>
        <w:t>(3-6)</w:t>
      </w:r>
      <w:r>
        <w:rPr>
          <w:rFonts w:ascii="Times New Roman" w:hAnsi="Times New Roman" w:cs="Times New Roman"/>
          <w:bCs/>
          <w:iCs/>
          <w:sz w:val="20"/>
          <w:szCs w:val="20"/>
        </w:rPr>
        <w:t xml:space="preserve"> </w:t>
      </w:r>
    </w:p>
    <w:p w:rsidR="0045600D" w:rsidRPr="008D2A56" w:rsidRDefault="0045600D" w:rsidP="008D2A56">
      <w:pPr>
        <w:spacing w:after="0" w:line="240" w:lineRule="auto"/>
        <w:rPr>
          <w:rFonts w:ascii="Times New Roman" w:hAnsi="Times New Roman" w:cs="Times New Roman"/>
          <w:sz w:val="20"/>
          <w:szCs w:val="20"/>
        </w:rPr>
      </w:pPr>
      <w:r w:rsidRPr="008D2A56">
        <w:rPr>
          <w:rFonts w:ascii="Times New Roman" w:hAnsi="Times New Roman" w:cs="Times New Roman"/>
          <w:b/>
          <w:sz w:val="20"/>
          <w:szCs w:val="20"/>
        </w:rPr>
        <w:t xml:space="preserve">Table 2. Transition probabilities of going to new health state given that a patient was in a prior health state at the end of the previous month (i.e., cycle) </w:t>
      </w:r>
      <w:r w:rsidR="00C52715" w:rsidRPr="008D2A56">
        <w:rPr>
          <w:rFonts w:ascii="Times New Roman" w:hAnsi="Times New Roman" w:cs="Times New Roman"/>
          <w:b/>
          <w:sz w:val="20"/>
          <w:szCs w:val="20"/>
        </w:rPr>
        <w:t>(Minion et al</w:t>
      </w:r>
      <w:r w:rsidR="00C63E61">
        <w:rPr>
          <w:rFonts w:ascii="Times New Roman" w:hAnsi="Times New Roman" w:cs="Times New Roman"/>
          <w:b/>
          <w:sz w:val="20"/>
          <w:szCs w:val="20"/>
        </w:rPr>
        <w:t>.</w:t>
      </w:r>
      <w:r w:rsidR="00C52715" w:rsidRPr="008D2A56">
        <w:rPr>
          <w:rFonts w:ascii="Times New Roman" w:hAnsi="Times New Roman" w:cs="Times New Roman"/>
          <w:b/>
          <w:sz w:val="20"/>
          <w:szCs w:val="20"/>
        </w:rPr>
        <w:t xml:space="preserve"> 2015)</w:t>
      </w:r>
    </w:p>
    <w:p w:rsidR="0092338D" w:rsidRDefault="008D2A56" w:rsidP="002D74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*probability assumed by authors based on treating physicians’ judgments.</w:t>
      </w:r>
      <w:r w:rsidR="0050439F">
        <w:rPr>
          <w:rFonts w:ascii="Times New Roman" w:hAnsi="Times New Roman" w:cs="Times New Roman"/>
          <w:sz w:val="20"/>
          <w:szCs w:val="20"/>
        </w:rPr>
        <w:t xml:space="preserve"> Typo from original table is corrected.</w:t>
      </w:r>
    </w:p>
    <w:p w:rsidR="00BF2944" w:rsidRDefault="00525C32" w:rsidP="002D7433">
      <w:pPr>
        <w:spacing w:after="0" w:line="240" w:lineRule="auto"/>
        <w:jc w:val="both"/>
        <w:rPr>
          <w:rFonts w:ascii="Times New Roman" w:hAnsi="Times New Roman" w:cs="Times New Roman"/>
          <w:sz w:val="20"/>
          <w:szCs w:val="20"/>
        </w:rPr>
      </w:pPr>
      <w:r w:rsidRPr="005351E3">
        <w:rPr>
          <w:rFonts w:ascii="Times New Roman" w:hAnsi="Times New Roman" w:cs="Times New Roman"/>
          <w:bCs/>
          <w:iCs/>
          <w:noProof/>
          <w:sz w:val="20"/>
          <w:szCs w:val="20"/>
        </w:rPr>
        <mc:AlternateContent>
          <mc:Choice Requires="wps">
            <w:drawing>
              <wp:anchor distT="0" distB="0" distL="114300" distR="114300" simplePos="0" relativeHeight="251663360" behindDoc="0" locked="0" layoutInCell="1" allowOverlap="1" wp14:anchorId="6D3611AB" wp14:editId="4E50AD54">
                <wp:simplePos x="0" y="0"/>
                <wp:positionH relativeFrom="column">
                  <wp:posOffset>0</wp:posOffset>
                </wp:positionH>
                <wp:positionV relativeFrom="paragraph">
                  <wp:posOffset>135890</wp:posOffset>
                </wp:positionV>
                <wp:extent cx="6337300" cy="1403985"/>
                <wp:effectExtent l="0" t="0" r="0" b="793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403985"/>
                        </a:xfrm>
                        <a:prstGeom prst="rect">
                          <a:avLst/>
                        </a:prstGeom>
                        <a:noFill/>
                        <a:ln w="9525">
                          <a:noFill/>
                          <a:miter lim="800000"/>
                          <a:headEnd/>
                          <a:tailEnd/>
                        </a:ln>
                      </wps:spPr>
                      <wps:txbx>
                        <w:txbxContent>
                          <w:tbl>
                            <w:tblPr>
                              <w:tblStyle w:val="TableGrid1"/>
                              <w:tblW w:w="9558" w:type="dxa"/>
                              <w:tblLayout w:type="fixed"/>
                              <w:tblLook w:val="04A0" w:firstRow="1" w:lastRow="0" w:firstColumn="1" w:lastColumn="0" w:noHBand="0" w:noVBand="1"/>
                            </w:tblPr>
                            <w:tblGrid>
                              <w:gridCol w:w="1278"/>
                              <w:gridCol w:w="2070"/>
                              <w:gridCol w:w="1170"/>
                              <w:gridCol w:w="1440"/>
                              <w:gridCol w:w="1260"/>
                              <w:gridCol w:w="1440"/>
                              <w:gridCol w:w="900"/>
                            </w:tblGrid>
                            <w:tr w:rsidR="005351E3" w:rsidRPr="008D2A56" w:rsidTr="005F2206">
                              <w:trPr>
                                <w:trHeight w:val="103"/>
                              </w:trPr>
                              <w:tc>
                                <w:tcPr>
                                  <w:tcW w:w="1278" w:type="dxa"/>
                                </w:tcPr>
                                <w:p w:rsidR="005351E3" w:rsidRPr="00924839" w:rsidRDefault="005351E3" w:rsidP="005F2206">
                                  <w:pPr>
                                    <w:jc w:val="right"/>
                                    <w:rPr>
                                      <w:rFonts w:ascii="Times New Roman" w:hAnsi="Times New Roman" w:cs="Times New Roman"/>
                                      <w:sz w:val="18"/>
                                      <w:szCs w:val="18"/>
                                    </w:rPr>
                                  </w:pPr>
                                </w:p>
                              </w:tc>
                              <w:tc>
                                <w:tcPr>
                                  <w:tcW w:w="2070" w:type="dxa"/>
                                </w:tcPr>
                                <w:p w:rsidR="005351E3" w:rsidRPr="00924839" w:rsidRDefault="005351E3" w:rsidP="005F2206">
                                  <w:pPr>
                                    <w:ind w:right="100"/>
                                    <w:jc w:val="right"/>
                                    <w:rPr>
                                      <w:rFonts w:ascii="Times New Roman" w:hAnsi="Times New Roman" w:cs="Times New Roman"/>
                                      <w:sz w:val="18"/>
                                      <w:szCs w:val="18"/>
                                    </w:rPr>
                                  </w:pPr>
                                  <w:r w:rsidRPr="00924839">
                                    <w:rPr>
                                      <w:rFonts w:ascii="Times New Roman" w:hAnsi="Times New Roman" w:cs="Times New Roman"/>
                                      <w:sz w:val="18"/>
                                      <w:szCs w:val="18"/>
                                    </w:rPr>
                                    <w:t>FROM  i to j</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Respond</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Limited Complications</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Progress</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Severe Complications</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Die</w:t>
                                  </w:r>
                                </w:p>
                              </w:tc>
                            </w:tr>
                            <w:tr w:rsidR="005351E3" w:rsidRPr="008D2A56" w:rsidTr="005F2206">
                              <w:trPr>
                                <w:trHeight w:val="309"/>
                              </w:trPr>
                              <w:tc>
                                <w:tcPr>
                                  <w:tcW w:w="1278" w:type="dxa"/>
                                  <w:vMerge w:val="restart"/>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 xml:space="preserve">Chemo only </w:t>
                                  </w: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Respond</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0.8671</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0.0024</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0.1281</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0.0024</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r>
                            <w:tr w:rsidR="005351E3" w:rsidRPr="008D2A56" w:rsidTr="005F2206">
                              <w:trPr>
                                <w:trHeight w:val="273"/>
                              </w:trPr>
                              <w:tc>
                                <w:tcPr>
                                  <w:tcW w:w="1278" w:type="dxa"/>
                                  <w:vMerge/>
                                </w:tcPr>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Limited complications</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1*</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r>
                            <w:tr w:rsidR="005351E3" w:rsidRPr="008D2A56" w:rsidTr="005F2206">
                              <w:trPr>
                                <w:trHeight w:val="264"/>
                              </w:trPr>
                              <w:tc>
                                <w:tcPr>
                                  <w:tcW w:w="1278" w:type="dxa"/>
                                  <w:vMerge/>
                                </w:tcPr>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 xml:space="preserve">Progress </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0.8567</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0.1433</w:t>
                                  </w:r>
                                </w:p>
                              </w:tc>
                            </w:tr>
                            <w:tr w:rsidR="005351E3" w:rsidRPr="008D2A56" w:rsidTr="005F2206">
                              <w:trPr>
                                <w:trHeight w:val="246"/>
                              </w:trPr>
                              <w:tc>
                                <w:tcPr>
                                  <w:tcW w:w="1278" w:type="dxa"/>
                                  <w:vMerge/>
                                </w:tcPr>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 xml:space="preserve">Severe complications </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0439F" w:rsidP="005F2206">
                                  <w:pPr>
                                    <w:jc w:val="center"/>
                                    <w:rPr>
                                      <w:rFonts w:ascii="Times New Roman" w:hAnsi="Times New Roman" w:cs="Times New Roman"/>
                                      <w:sz w:val="18"/>
                                      <w:szCs w:val="18"/>
                                    </w:rPr>
                                  </w:pPr>
                                  <w:r>
                                    <w:rPr>
                                      <w:rFonts w:ascii="Times New Roman" w:hAnsi="Times New Roman" w:cs="Times New Roman"/>
                                      <w:sz w:val="18"/>
                                      <w:szCs w:val="18"/>
                                    </w:rPr>
                                    <w:t>0.9*</w:t>
                                  </w:r>
                                  <w:r w:rsidR="005351E3" w:rsidRPr="00924839">
                                    <w:rPr>
                                      <w:rFonts w:ascii="Times New Roman" w:hAnsi="Times New Roman" w:cs="Times New Roman"/>
                                      <w:sz w:val="18"/>
                                      <w:szCs w:val="18"/>
                                    </w:rPr>
                                    <w:t xml:space="preserve"> </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0.1*</w:t>
                                  </w:r>
                                </w:p>
                              </w:tc>
                              <w:tc>
                                <w:tcPr>
                                  <w:tcW w:w="900" w:type="dxa"/>
                                </w:tcPr>
                                <w:p w:rsidR="005351E3" w:rsidRPr="00924839" w:rsidRDefault="0050439F" w:rsidP="005F2206">
                                  <w:pPr>
                                    <w:jc w:val="center"/>
                                    <w:rPr>
                                      <w:rFonts w:ascii="Times New Roman" w:hAnsi="Times New Roman" w:cs="Times New Roman"/>
                                      <w:sz w:val="18"/>
                                      <w:szCs w:val="18"/>
                                    </w:rPr>
                                  </w:pPr>
                                  <w:r>
                                    <w:rPr>
                                      <w:rFonts w:ascii="Times New Roman" w:hAnsi="Times New Roman" w:cs="Times New Roman"/>
                                      <w:sz w:val="18"/>
                                      <w:szCs w:val="18"/>
                                    </w:rPr>
                                    <w:t>0</w:t>
                                  </w:r>
                                </w:p>
                              </w:tc>
                            </w:tr>
                            <w:tr w:rsidR="005351E3" w:rsidRPr="008D2A56" w:rsidTr="005F2206">
                              <w:trPr>
                                <w:trHeight w:val="103"/>
                              </w:trPr>
                              <w:tc>
                                <w:tcPr>
                                  <w:tcW w:w="1278" w:type="dxa"/>
                                  <w:vMerge/>
                                </w:tcPr>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Die</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1</w:t>
                                  </w:r>
                                </w:p>
                              </w:tc>
                            </w:tr>
                            <w:tr w:rsidR="005351E3" w:rsidRPr="008D2A56" w:rsidTr="005F2206">
                              <w:trPr>
                                <w:trHeight w:val="103"/>
                              </w:trPr>
                              <w:tc>
                                <w:tcPr>
                                  <w:tcW w:w="1278" w:type="dxa"/>
                                  <w:vMerge w:val="restart"/>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Chemo + Bevacizumab</w:t>
                                  </w:r>
                                </w:p>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 xml:space="preserve">Respond </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0.8720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0.0268</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0.0858</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0.0154</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r>
                            <w:tr w:rsidR="005351E3" w:rsidRPr="008D2A56" w:rsidTr="005F2206">
                              <w:trPr>
                                <w:trHeight w:val="103"/>
                              </w:trPr>
                              <w:tc>
                                <w:tcPr>
                                  <w:tcW w:w="1278" w:type="dxa"/>
                                  <w:vMerge/>
                                </w:tcPr>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Limited complications</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1*</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r>
                            <w:tr w:rsidR="005351E3" w:rsidRPr="008D2A56" w:rsidTr="005F2206">
                              <w:trPr>
                                <w:trHeight w:val="103"/>
                              </w:trPr>
                              <w:tc>
                                <w:tcPr>
                                  <w:tcW w:w="1278" w:type="dxa"/>
                                  <w:vMerge/>
                                </w:tcPr>
                                <w:p w:rsidR="005351E3" w:rsidRPr="00924839" w:rsidRDefault="005351E3" w:rsidP="005F2206">
                                  <w:pPr>
                                    <w:rPr>
                                      <w:rFonts w:ascii="Times New Roman" w:hAnsi="Times New Roman" w:cs="Times New Roman"/>
                                      <w:color w:val="FF0000"/>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 xml:space="preserve">Progress </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0.8660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0.1340</w:t>
                                  </w:r>
                                </w:p>
                              </w:tc>
                            </w:tr>
                            <w:tr w:rsidR="005351E3" w:rsidRPr="008D2A56" w:rsidTr="005F2206">
                              <w:trPr>
                                <w:trHeight w:val="103"/>
                              </w:trPr>
                              <w:tc>
                                <w:tcPr>
                                  <w:tcW w:w="1278" w:type="dxa"/>
                                  <w:vMerge/>
                                </w:tcPr>
                                <w:p w:rsidR="005351E3" w:rsidRPr="00924839" w:rsidRDefault="005351E3" w:rsidP="005F2206">
                                  <w:pP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Severe complications</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0439F" w:rsidP="0050439F">
                                  <w:pPr>
                                    <w:jc w:val="center"/>
                                    <w:rPr>
                                      <w:rFonts w:ascii="Times New Roman" w:hAnsi="Times New Roman" w:cs="Times New Roman"/>
                                      <w:sz w:val="18"/>
                                      <w:szCs w:val="18"/>
                                    </w:rPr>
                                  </w:pPr>
                                  <w:r>
                                    <w:rPr>
                                      <w:rFonts w:ascii="Times New Roman" w:hAnsi="Times New Roman" w:cs="Times New Roman"/>
                                      <w:sz w:val="18"/>
                                      <w:szCs w:val="18"/>
                                    </w:rPr>
                                    <w:t>0.9*</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0.1*</w:t>
                                  </w:r>
                                </w:p>
                              </w:tc>
                              <w:tc>
                                <w:tcPr>
                                  <w:tcW w:w="900" w:type="dxa"/>
                                </w:tcPr>
                                <w:p w:rsidR="005351E3" w:rsidRPr="00924839" w:rsidRDefault="0050439F" w:rsidP="0050439F">
                                  <w:pPr>
                                    <w:jc w:val="center"/>
                                    <w:rPr>
                                      <w:rFonts w:ascii="Times New Roman" w:hAnsi="Times New Roman" w:cs="Times New Roman"/>
                                      <w:sz w:val="18"/>
                                      <w:szCs w:val="18"/>
                                    </w:rPr>
                                  </w:pPr>
                                  <w:r>
                                    <w:rPr>
                                      <w:rFonts w:ascii="Times New Roman" w:hAnsi="Times New Roman" w:cs="Times New Roman"/>
                                      <w:sz w:val="18"/>
                                      <w:szCs w:val="18"/>
                                    </w:rPr>
                                    <w:t>0</w:t>
                                  </w:r>
                                </w:p>
                              </w:tc>
                            </w:tr>
                            <w:tr w:rsidR="005351E3" w:rsidRPr="008D2A56" w:rsidTr="005F2206">
                              <w:trPr>
                                <w:trHeight w:val="103"/>
                              </w:trPr>
                              <w:tc>
                                <w:tcPr>
                                  <w:tcW w:w="1278" w:type="dxa"/>
                                  <w:vMerge/>
                                </w:tcPr>
                                <w:p w:rsidR="005351E3" w:rsidRPr="00924839" w:rsidRDefault="005351E3" w:rsidP="005F2206">
                                  <w:pP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Die</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1</w:t>
                                  </w:r>
                                </w:p>
                              </w:tc>
                            </w:tr>
                          </w:tbl>
                          <w:p w:rsidR="005351E3" w:rsidRDefault="005351E3" w:rsidP="0053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7pt;width:49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pDQIAAPQDAAAOAAAAZHJzL2Uyb0RvYy54bWysU9tu2zAMfR+wfxD0vtjOpU2MOEXXLsOA&#10;7gK0+wBFlmNhkqhJSuzs60fJaWqsb8X0IEgiechzSK1veq3IUTgvwVS0mOSUCMOhlmZf0Z9P2w9L&#10;SnxgpmYKjKjoSXh6s3n/bt3ZUkyhBVULRxDE+LKzFW1DsGWWed4KzfwErDBobMBpFvDq9lntWIfo&#10;WmXTPL/KOnC1dcCF9/h6PxjpJuE3jeDhe9N4EYiqKNYW0u7Svot7tlmzcu+YbSU/l8HeUIVm0mDS&#10;C9Q9C4wcnHwFpSV34KEJEw46g6aRXCQOyKbI/2Hz2DIrEhcUx9uLTP7/wfJvxx+OyBp7V1BimMYe&#10;PYk+kI/Qk2mUp7O+RK9Hi36hx2d0TVS9fQD+yxMDdy0ze3HrHHStYDWWV8TIbBQ64PgIsuu+Qo1p&#10;2CFAAuobp6N2qAZBdGzT6dKaWArHx6vZ7HqWo4mjrZjns9VykXKw8jncOh8+C9AkHirqsPcJnh0f&#10;fIjlsPLZJWYzsJVKpf4rQ7qKrhbTRQoYWbQMOJ5K6oou87iGgYksP5k6BQcm1XDGBMqcaUemA+fQ&#10;73p0jFrsoD6hAA6GMcRvg4cW3B9KOhzBivrfB+YEJeqLQRFXxXweZzZd5ovrKV7c2LIbW5jhCFXR&#10;QMlwvAtpziNXb29R7K1MMrxUcq4VRyupc/4GcXbH9+T18lk3fwEAAP//AwBQSwMEFAAGAAgAAAAh&#10;AGhq1vfcAAAABwEAAA8AAABkcnMvZG93bnJldi54bWxMj8FOwzAQRO9I/IO1SNyo06hAG+JUFWrL&#10;kVIizm68JBHx2rLdNPw9ywmOM7OaeVuuJzuIEUPsHSmYzzIQSI0zPbUK6vfd3RJETJqMHhyhgm+M&#10;sK6ur0pdGHehNxyPqRVcQrHQCrqUfCFlbDq0Os6cR+Ls0wWrE8vQShP0hcvtIPMse5BW98QLnfb4&#10;3GHzdTxbBT75/eNLeD1strsxqz/2dd63W6Vub6bNE4iEU/o7hl98RoeKmU7uTCaKQQE/khTk8wUI&#10;TlerJRsnNhb5PciqlP/5qx8AAAD//wMAUEsBAi0AFAAGAAgAAAAhALaDOJL+AAAA4QEAABMAAAAA&#10;AAAAAAAAAAAAAAAAAFtDb250ZW50X1R5cGVzXS54bWxQSwECLQAUAAYACAAAACEAOP0h/9YAAACU&#10;AQAACwAAAAAAAAAAAAAAAAAvAQAAX3JlbHMvLnJlbHNQSwECLQAUAAYACAAAACEAv/VVqQ0CAAD0&#10;AwAADgAAAAAAAAAAAAAAAAAuAgAAZHJzL2Uyb0RvYy54bWxQSwECLQAUAAYACAAAACEAaGrW99wA&#10;AAAHAQAADwAAAAAAAAAAAAAAAABnBAAAZHJzL2Rvd25yZXYueG1sUEsFBgAAAAAEAAQA8wAAAHAF&#10;AAAAAA==&#10;" filled="f" stroked="f">
                <v:textbox style="mso-fit-shape-to-text:t">
                  <w:txbxContent>
                    <w:tbl>
                      <w:tblPr>
                        <w:tblStyle w:val="TableGrid1"/>
                        <w:tblW w:w="9558" w:type="dxa"/>
                        <w:tblLayout w:type="fixed"/>
                        <w:tblLook w:val="04A0" w:firstRow="1" w:lastRow="0" w:firstColumn="1" w:lastColumn="0" w:noHBand="0" w:noVBand="1"/>
                      </w:tblPr>
                      <w:tblGrid>
                        <w:gridCol w:w="1278"/>
                        <w:gridCol w:w="2070"/>
                        <w:gridCol w:w="1170"/>
                        <w:gridCol w:w="1440"/>
                        <w:gridCol w:w="1260"/>
                        <w:gridCol w:w="1440"/>
                        <w:gridCol w:w="900"/>
                      </w:tblGrid>
                      <w:tr w:rsidR="005351E3" w:rsidRPr="008D2A56" w:rsidTr="005F2206">
                        <w:trPr>
                          <w:trHeight w:val="103"/>
                        </w:trPr>
                        <w:tc>
                          <w:tcPr>
                            <w:tcW w:w="1278" w:type="dxa"/>
                          </w:tcPr>
                          <w:p w:rsidR="005351E3" w:rsidRPr="00924839" w:rsidRDefault="005351E3" w:rsidP="005F2206">
                            <w:pPr>
                              <w:jc w:val="right"/>
                              <w:rPr>
                                <w:rFonts w:ascii="Times New Roman" w:hAnsi="Times New Roman" w:cs="Times New Roman"/>
                                <w:sz w:val="18"/>
                                <w:szCs w:val="18"/>
                              </w:rPr>
                            </w:pPr>
                          </w:p>
                        </w:tc>
                        <w:tc>
                          <w:tcPr>
                            <w:tcW w:w="2070" w:type="dxa"/>
                          </w:tcPr>
                          <w:p w:rsidR="005351E3" w:rsidRPr="00924839" w:rsidRDefault="005351E3" w:rsidP="005F2206">
                            <w:pPr>
                              <w:ind w:right="100"/>
                              <w:jc w:val="right"/>
                              <w:rPr>
                                <w:rFonts w:ascii="Times New Roman" w:hAnsi="Times New Roman" w:cs="Times New Roman"/>
                                <w:sz w:val="18"/>
                                <w:szCs w:val="18"/>
                              </w:rPr>
                            </w:pPr>
                            <w:r w:rsidRPr="00924839">
                              <w:rPr>
                                <w:rFonts w:ascii="Times New Roman" w:hAnsi="Times New Roman" w:cs="Times New Roman"/>
                                <w:sz w:val="18"/>
                                <w:szCs w:val="18"/>
                              </w:rPr>
                              <w:t>FROM  i to j</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Respond</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Limited Complications</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Progress</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Severe Complications</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Die</w:t>
                            </w:r>
                          </w:p>
                        </w:tc>
                      </w:tr>
                      <w:tr w:rsidR="005351E3" w:rsidRPr="008D2A56" w:rsidTr="005F2206">
                        <w:trPr>
                          <w:trHeight w:val="309"/>
                        </w:trPr>
                        <w:tc>
                          <w:tcPr>
                            <w:tcW w:w="1278" w:type="dxa"/>
                            <w:vMerge w:val="restart"/>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 xml:space="preserve">Chemo only </w:t>
                            </w: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Respond</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0.8671</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0.0024</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0.1281</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0.0024</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r>
                      <w:tr w:rsidR="005351E3" w:rsidRPr="008D2A56" w:rsidTr="005F2206">
                        <w:trPr>
                          <w:trHeight w:val="273"/>
                        </w:trPr>
                        <w:tc>
                          <w:tcPr>
                            <w:tcW w:w="1278" w:type="dxa"/>
                            <w:vMerge/>
                          </w:tcPr>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Limited complications</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1*</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r>
                      <w:tr w:rsidR="005351E3" w:rsidRPr="008D2A56" w:rsidTr="005F2206">
                        <w:trPr>
                          <w:trHeight w:val="264"/>
                        </w:trPr>
                        <w:tc>
                          <w:tcPr>
                            <w:tcW w:w="1278" w:type="dxa"/>
                            <w:vMerge/>
                          </w:tcPr>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 xml:space="preserve">Progress </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0.8567</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0.1433</w:t>
                            </w:r>
                          </w:p>
                        </w:tc>
                      </w:tr>
                      <w:tr w:rsidR="005351E3" w:rsidRPr="008D2A56" w:rsidTr="005F2206">
                        <w:trPr>
                          <w:trHeight w:val="246"/>
                        </w:trPr>
                        <w:tc>
                          <w:tcPr>
                            <w:tcW w:w="1278" w:type="dxa"/>
                            <w:vMerge/>
                          </w:tcPr>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 xml:space="preserve">Severe complications </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0439F" w:rsidP="005F2206">
                            <w:pPr>
                              <w:jc w:val="center"/>
                              <w:rPr>
                                <w:rFonts w:ascii="Times New Roman" w:hAnsi="Times New Roman" w:cs="Times New Roman"/>
                                <w:sz w:val="18"/>
                                <w:szCs w:val="18"/>
                              </w:rPr>
                            </w:pPr>
                            <w:r>
                              <w:rPr>
                                <w:rFonts w:ascii="Times New Roman" w:hAnsi="Times New Roman" w:cs="Times New Roman"/>
                                <w:sz w:val="18"/>
                                <w:szCs w:val="18"/>
                              </w:rPr>
                              <w:t>0.9*</w:t>
                            </w:r>
                            <w:r w:rsidR="005351E3" w:rsidRPr="00924839">
                              <w:rPr>
                                <w:rFonts w:ascii="Times New Roman" w:hAnsi="Times New Roman" w:cs="Times New Roman"/>
                                <w:sz w:val="18"/>
                                <w:szCs w:val="18"/>
                              </w:rPr>
                              <w:t xml:space="preserve"> </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0.1*</w:t>
                            </w:r>
                          </w:p>
                        </w:tc>
                        <w:tc>
                          <w:tcPr>
                            <w:tcW w:w="900" w:type="dxa"/>
                          </w:tcPr>
                          <w:p w:rsidR="005351E3" w:rsidRPr="00924839" w:rsidRDefault="0050439F" w:rsidP="005F2206">
                            <w:pPr>
                              <w:jc w:val="center"/>
                              <w:rPr>
                                <w:rFonts w:ascii="Times New Roman" w:hAnsi="Times New Roman" w:cs="Times New Roman"/>
                                <w:sz w:val="18"/>
                                <w:szCs w:val="18"/>
                              </w:rPr>
                            </w:pPr>
                            <w:r>
                              <w:rPr>
                                <w:rFonts w:ascii="Times New Roman" w:hAnsi="Times New Roman" w:cs="Times New Roman"/>
                                <w:sz w:val="18"/>
                                <w:szCs w:val="18"/>
                              </w:rPr>
                              <w:t>0</w:t>
                            </w:r>
                          </w:p>
                        </w:tc>
                      </w:tr>
                      <w:tr w:rsidR="005351E3" w:rsidRPr="008D2A56" w:rsidTr="005F2206">
                        <w:trPr>
                          <w:trHeight w:val="103"/>
                        </w:trPr>
                        <w:tc>
                          <w:tcPr>
                            <w:tcW w:w="1278" w:type="dxa"/>
                            <w:vMerge/>
                          </w:tcPr>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Die</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1</w:t>
                            </w:r>
                          </w:p>
                        </w:tc>
                      </w:tr>
                      <w:tr w:rsidR="005351E3" w:rsidRPr="008D2A56" w:rsidTr="005F2206">
                        <w:trPr>
                          <w:trHeight w:val="103"/>
                        </w:trPr>
                        <w:tc>
                          <w:tcPr>
                            <w:tcW w:w="1278" w:type="dxa"/>
                            <w:vMerge w:val="restart"/>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Chemo + Bevacizumab</w:t>
                            </w:r>
                          </w:p>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 xml:space="preserve">Respond </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0.8720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0.0268</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0.0858</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0.0154</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r>
                      <w:tr w:rsidR="005351E3" w:rsidRPr="008D2A56" w:rsidTr="005F2206">
                        <w:trPr>
                          <w:trHeight w:val="103"/>
                        </w:trPr>
                        <w:tc>
                          <w:tcPr>
                            <w:tcW w:w="1278" w:type="dxa"/>
                            <w:vMerge/>
                          </w:tcPr>
                          <w:p w:rsidR="005351E3" w:rsidRPr="00924839" w:rsidRDefault="005351E3" w:rsidP="005F2206">
                            <w:pPr>
                              <w:jc w:val="cente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Limited complications</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1*</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r>
                      <w:tr w:rsidR="005351E3" w:rsidRPr="008D2A56" w:rsidTr="005F2206">
                        <w:trPr>
                          <w:trHeight w:val="103"/>
                        </w:trPr>
                        <w:tc>
                          <w:tcPr>
                            <w:tcW w:w="1278" w:type="dxa"/>
                            <w:vMerge/>
                          </w:tcPr>
                          <w:p w:rsidR="005351E3" w:rsidRPr="00924839" w:rsidRDefault="005351E3" w:rsidP="005F2206">
                            <w:pPr>
                              <w:rPr>
                                <w:rFonts w:ascii="Times New Roman" w:hAnsi="Times New Roman" w:cs="Times New Roman"/>
                                <w:color w:val="FF0000"/>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 xml:space="preserve">Progress </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0.8660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0.1340</w:t>
                            </w:r>
                          </w:p>
                        </w:tc>
                      </w:tr>
                      <w:tr w:rsidR="005351E3" w:rsidRPr="008D2A56" w:rsidTr="005F2206">
                        <w:trPr>
                          <w:trHeight w:val="103"/>
                        </w:trPr>
                        <w:tc>
                          <w:tcPr>
                            <w:tcW w:w="1278" w:type="dxa"/>
                            <w:vMerge/>
                          </w:tcPr>
                          <w:p w:rsidR="005351E3" w:rsidRPr="00924839" w:rsidRDefault="005351E3" w:rsidP="005F2206">
                            <w:pP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Severe complications</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0439F" w:rsidP="0050439F">
                            <w:pPr>
                              <w:jc w:val="center"/>
                              <w:rPr>
                                <w:rFonts w:ascii="Times New Roman" w:hAnsi="Times New Roman" w:cs="Times New Roman"/>
                                <w:sz w:val="18"/>
                                <w:szCs w:val="18"/>
                              </w:rPr>
                            </w:pPr>
                            <w:r>
                              <w:rPr>
                                <w:rFonts w:ascii="Times New Roman" w:hAnsi="Times New Roman" w:cs="Times New Roman"/>
                                <w:sz w:val="18"/>
                                <w:szCs w:val="18"/>
                              </w:rPr>
                              <w:t>0.9*</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0.1*</w:t>
                            </w:r>
                          </w:p>
                        </w:tc>
                        <w:tc>
                          <w:tcPr>
                            <w:tcW w:w="900" w:type="dxa"/>
                          </w:tcPr>
                          <w:p w:rsidR="005351E3" w:rsidRPr="00924839" w:rsidRDefault="0050439F" w:rsidP="0050439F">
                            <w:pPr>
                              <w:jc w:val="center"/>
                              <w:rPr>
                                <w:rFonts w:ascii="Times New Roman" w:hAnsi="Times New Roman" w:cs="Times New Roman"/>
                                <w:sz w:val="18"/>
                                <w:szCs w:val="18"/>
                              </w:rPr>
                            </w:pPr>
                            <w:r>
                              <w:rPr>
                                <w:rFonts w:ascii="Times New Roman" w:hAnsi="Times New Roman" w:cs="Times New Roman"/>
                                <w:sz w:val="18"/>
                                <w:szCs w:val="18"/>
                              </w:rPr>
                              <w:t>0</w:t>
                            </w:r>
                          </w:p>
                        </w:tc>
                      </w:tr>
                      <w:tr w:rsidR="005351E3" w:rsidRPr="008D2A56" w:rsidTr="005F2206">
                        <w:trPr>
                          <w:trHeight w:val="103"/>
                        </w:trPr>
                        <w:tc>
                          <w:tcPr>
                            <w:tcW w:w="1278" w:type="dxa"/>
                            <w:vMerge/>
                          </w:tcPr>
                          <w:p w:rsidR="005351E3" w:rsidRPr="00924839" w:rsidRDefault="005351E3" w:rsidP="005F2206">
                            <w:pPr>
                              <w:rPr>
                                <w:rFonts w:ascii="Times New Roman" w:hAnsi="Times New Roman" w:cs="Times New Roman"/>
                                <w:sz w:val="18"/>
                                <w:szCs w:val="18"/>
                              </w:rPr>
                            </w:pPr>
                          </w:p>
                        </w:tc>
                        <w:tc>
                          <w:tcPr>
                            <w:tcW w:w="2070" w:type="dxa"/>
                          </w:tcPr>
                          <w:p w:rsidR="005351E3" w:rsidRPr="00924839" w:rsidRDefault="005351E3" w:rsidP="005F2206">
                            <w:pPr>
                              <w:rPr>
                                <w:rFonts w:ascii="Times New Roman" w:hAnsi="Times New Roman" w:cs="Times New Roman"/>
                                <w:sz w:val="18"/>
                                <w:szCs w:val="18"/>
                              </w:rPr>
                            </w:pPr>
                            <w:r w:rsidRPr="00924839">
                              <w:rPr>
                                <w:rFonts w:ascii="Times New Roman" w:hAnsi="Times New Roman" w:cs="Times New Roman"/>
                                <w:sz w:val="18"/>
                                <w:szCs w:val="18"/>
                              </w:rPr>
                              <w:t>Die</w:t>
                            </w:r>
                          </w:p>
                        </w:tc>
                        <w:tc>
                          <w:tcPr>
                            <w:tcW w:w="117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26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144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0</w:t>
                            </w:r>
                          </w:p>
                        </w:tc>
                        <w:tc>
                          <w:tcPr>
                            <w:tcW w:w="900" w:type="dxa"/>
                          </w:tcPr>
                          <w:p w:rsidR="005351E3" w:rsidRPr="00924839" w:rsidRDefault="005351E3" w:rsidP="005F2206">
                            <w:pPr>
                              <w:jc w:val="center"/>
                              <w:rPr>
                                <w:rFonts w:ascii="Times New Roman" w:hAnsi="Times New Roman" w:cs="Times New Roman"/>
                                <w:sz w:val="18"/>
                                <w:szCs w:val="18"/>
                              </w:rPr>
                            </w:pPr>
                            <w:r w:rsidRPr="00924839">
                              <w:rPr>
                                <w:rFonts w:ascii="Times New Roman" w:hAnsi="Times New Roman" w:cs="Times New Roman"/>
                                <w:sz w:val="18"/>
                                <w:szCs w:val="18"/>
                              </w:rPr>
                              <w:t>1</w:t>
                            </w:r>
                          </w:p>
                        </w:tc>
                      </w:tr>
                    </w:tbl>
                    <w:p w:rsidR="005351E3" w:rsidRDefault="005351E3" w:rsidP="005351E3"/>
                  </w:txbxContent>
                </v:textbox>
              </v:shape>
            </w:pict>
          </mc:Fallback>
        </mc:AlternateContent>
      </w:r>
    </w:p>
    <w:p w:rsidR="00BF2944" w:rsidRDefault="00BF2944" w:rsidP="002D7433">
      <w:pPr>
        <w:spacing w:after="0" w:line="240" w:lineRule="auto"/>
        <w:jc w:val="both"/>
        <w:rPr>
          <w:rFonts w:ascii="Times New Roman" w:hAnsi="Times New Roman" w:cs="Times New Roman"/>
          <w:sz w:val="20"/>
          <w:szCs w:val="20"/>
        </w:rPr>
      </w:pPr>
    </w:p>
    <w:p w:rsidR="00BF2944" w:rsidRDefault="00BF2944" w:rsidP="002D7433">
      <w:pPr>
        <w:spacing w:after="0" w:line="240" w:lineRule="auto"/>
        <w:jc w:val="both"/>
        <w:rPr>
          <w:rFonts w:ascii="Times New Roman" w:hAnsi="Times New Roman" w:cs="Times New Roman"/>
          <w:sz w:val="20"/>
          <w:szCs w:val="20"/>
        </w:rPr>
      </w:pPr>
    </w:p>
    <w:p w:rsidR="00BF2944" w:rsidRDefault="00BF2944" w:rsidP="002D7433">
      <w:pPr>
        <w:spacing w:after="0" w:line="240" w:lineRule="auto"/>
        <w:jc w:val="both"/>
        <w:rPr>
          <w:rFonts w:ascii="Times New Roman" w:hAnsi="Times New Roman" w:cs="Times New Roman"/>
          <w:sz w:val="20"/>
          <w:szCs w:val="20"/>
        </w:rPr>
      </w:pPr>
    </w:p>
    <w:p w:rsidR="001B2EEF" w:rsidRDefault="001B2EEF" w:rsidP="005351E3">
      <w:pPr>
        <w:spacing w:after="0" w:line="240" w:lineRule="auto"/>
        <w:jc w:val="both"/>
        <w:rPr>
          <w:rFonts w:ascii="Times New Roman" w:hAnsi="Times New Roman" w:cs="Times New Roman"/>
        </w:rPr>
      </w:pPr>
    </w:p>
    <w:p w:rsidR="005351E3" w:rsidRDefault="005351E3" w:rsidP="001B2EEF">
      <w:pPr>
        <w:rPr>
          <w:rFonts w:ascii="Times New Roman" w:hAnsi="Times New Roman" w:cs="Times New Roman"/>
        </w:rPr>
      </w:pPr>
    </w:p>
    <w:p w:rsidR="005351E3" w:rsidRDefault="005351E3" w:rsidP="001B2EEF">
      <w:pPr>
        <w:rPr>
          <w:rFonts w:ascii="Times New Roman" w:hAnsi="Times New Roman" w:cs="Times New Roman"/>
        </w:rPr>
      </w:pPr>
    </w:p>
    <w:p w:rsidR="001B2EEF" w:rsidRDefault="001B2EEF" w:rsidP="001B2EEF">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Section </w:t>
      </w:r>
      <w:r w:rsidR="00BF2944">
        <w:rPr>
          <w:rFonts w:ascii="Times New Roman" w:hAnsi="Times New Roman" w:cs="Times New Roman"/>
          <w:bCs/>
          <w:iCs/>
          <w:sz w:val="20"/>
          <w:szCs w:val="20"/>
        </w:rPr>
        <w:t>4</w:t>
      </w:r>
      <w:r>
        <w:rPr>
          <w:rFonts w:ascii="Times New Roman" w:hAnsi="Times New Roman" w:cs="Times New Roman"/>
          <w:bCs/>
          <w:iCs/>
          <w:sz w:val="20"/>
          <w:szCs w:val="20"/>
        </w:rPr>
        <w:t xml:space="preserve">. </w:t>
      </w:r>
      <w:r w:rsidR="00C52715">
        <w:rPr>
          <w:rFonts w:ascii="Times New Roman" w:hAnsi="Times New Roman" w:cs="Times New Roman"/>
          <w:bCs/>
          <w:iCs/>
          <w:sz w:val="20"/>
          <w:szCs w:val="20"/>
        </w:rPr>
        <w:t xml:space="preserve"> </w:t>
      </w:r>
      <w:r w:rsidR="008A2AD0">
        <w:rPr>
          <w:rFonts w:ascii="Times New Roman" w:hAnsi="Times New Roman" w:cs="Times New Roman"/>
          <w:bCs/>
          <w:iCs/>
          <w:sz w:val="20"/>
          <w:szCs w:val="20"/>
        </w:rPr>
        <w:t>Analysis and results with d</w:t>
      </w:r>
      <w:r>
        <w:rPr>
          <w:rFonts w:ascii="Times New Roman" w:hAnsi="Times New Roman" w:cs="Times New Roman"/>
          <w:bCs/>
          <w:iCs/>
          <w:sz w:val="20"/>
          <w:szCs w:val="20"/>
        </w:rPr>
        <w:t xml:space="preserve">ecision tree </w:t>
      </w:r>
      <w:r w:rsidR="008A2AD0">
        <w:rPr>
          <w:rFonts w:ascii="Times New Roman" w:hAnsi="Times New Roman" w:cs="Times New Roman"/>
          <w:bCs/>
          <w:iCs/>
          <w:sz w:val="20"/>
          <w:szCs w:val="20"/>
        </w:rPr>
        <w:t>with Markov nodes</w:t>
      </w:r>
      <w:r w:rsidR="008A2AD0" w:rsidRPr="00032C2F">
        <w:rPr>
          <w:rFonts w:ascii="Times New Roman" w:hAnsi="Times New Roman" w:cs="Times New Roman"/>
          <w:bCs/>
          <w:iCs/>
          <w:sz w:val="20"/>
          <w:szCs w:val="20"/>
        </w:rPr>
        <w:t xml:space="preserve"> </w:t>
      </w:r>
    </w:p>
    <w:p w:rsidR="001B2EEF" w:rsidRDefault="00C52715" w:rsidP="00C52715">
      <w:pPr>
        <w:spacing w:after="0" w:line="240" w:lineRule="auto"/>
        <w:jc w:val="both"/>
        <w:rPr>
          <w:rFonts w:ascii="Times New Roman" w:hAnsi="Times New Roman" w:cs="Times New Roman"/>
          <w:sz w:val="20"/>
          <w:szCs w:val="20"/>
        </w:rPr>
      </w:pPr>
      <w:r>
        <w:rPr>
          <w:rFonts w:ascii="Times New Roman" w:hAnsi="Times New Roman" w:cs="Times New Roman"/>
          <w:bCs/>
          <w:iCs/>
          <w:sz w:val="20"/>
          <w:szCs w:val="20"/>
        </w:rPr>
        <w:tab/>
      </w:r>
      <w:r w:rsidR="001B2EEF" w:rsidRPr="00032C2F">
        <w:rPr>
          <w:rFonts w:ascii="Times New Roman" w:hAnsi="Times New Roman" w:cs="Times New Roman"/>
          <w:bCs/>
          <w:iCs/>
          <w:sz w:val="20"/>
          <w:szCs w:val="20"/>
        </w:rPr>
        <w:t>A Markov decision tree was created in the Treeage Pro Healthcare Module software (Treeage.com).</w:t>
      </w:r>
      <w:r w:rsidR="001B2EEF" w:rsidRPr="0092338D">
        <w:rPr>
          <w:rFonts w:ascii="Times New Roman" w:hAnsi="Times New Roman" w:cs="Times New Roman"/>
          <w:sz w:val="20"/>
          <w:szCs w:val="20"/>
        </w:rPr>
        <w:t xml:space="preserve"> </w:t>
      </w:r>
      <w:r w:rsidR="001B2EEF" w:rsidRPr="00032C2F">
        <w:rPr>
          <w:rFonts w:ascii="Times New Roman" w:hAnsi="Times New Roman" w:cs="Times New Roman"/>
          <w:sz w:val="20"/>
          <w:szCs w:val="20"/>
        </w:rPr>
        <w:t>Note that</w:t>
      </w:r>
      <w:r w:rsidR="001B2EEF" w:rsidRPr="00032C2F">
        <w:rPr>
          <w:rFonts w:ascii="Times New Roman" w:hAnsi="Times New Roman" w:cs="Times New Roman"/>
          <w:b/>
          <w:sz w:val="20"/>
          <w:szCs w:val="20"/>
        </w:rPr>
        <w:t xml:space="preserve"> </w:t>
      </w:r>
      <w:r w:rsidR="001B2EEF" w:rsidRPr="00032C2F">
        <w:rPr>
          <w:rFonts w:ascii="Times New Roman" w:hAnsi="Times New Roman" w:cs="Times New Roman"/>
          <w:sz w:val="20"/>
          <w:szCs w:val="20"/>
        </w:rPr>
        <w:t>the termination condition was set to 60 cycles which corresponds</w:t>
      </w:r>
      <w:r w:rsidR="001B2EEF" w:rsidRPr="007A42B9">
        <w:rPr>
          <w:rFonts w:ascii="Times New Roman" w:hAnsi="Times New Roman" w:cs="Times New Roman"/>
          <w:sz w:val="20"/>
          <w:szCs w:val="20"/>
        </w:rPr>
        <w:t xml:space="preserve"> to 5 years. At this point in time, 99% of patients are expected to have died.  (# sign indicates a probability = 1 – the sum of the other probabilities following a chance node circle).</w:t>
      </w:r>
    </w:p>
    <w:p w:rsidR="008A2AD0" w:rsidRDefault="008A2AD0" w:rsidP="00C52715">
      <w:pPr>
        <w:spacing w:after="0" w:line="240" w:lineRule="auto"/>
        <w:jc w:val="both"/>
        <w:rPr>
          <w:rFonts w:ascii="Times New Roman" w:hAnsi="Times New Roman" w:cs="Times New Roman"/>
          <w:sz w:val="20"/>
          <w:szCs w:val="20"/>
        </w:rPr>
      </w:pPr>
    </w:p>
    <w:p w:rsidR="001B2EEF" w:rsidRPr="009612BF" w:rsidRDefault="009612BF" w:rsidP="00C52715">
      <w:pPr>
        <w:spacing w:line="240" w:lineRule="auto"/>
        <w:jc w:val="both"/>
        <w:rPr>
          <w:rFonts w:ascii="Times New Roman" w:hAnsi="Times New Roman" w:cs="Times New Roman"/>
          <w:sz w:val="20"/>
          <w:szCs w:val="20"/>
        </w:rPr>
      </w:pPr>
      <w:r w:rsidRPr="009612BF">
        <w:rPr>
          <w:rFonts w:ascii="Times New Roman" w:hAnsi="Times New Roman" w:cs="Times New Roman"/>
          <w:sz w:val="20"/>
          <w:szCs w:val="20"/>
        </w:rPr>
        <w:t>The tree can be analyzed by “rolling back the tree” to compute the expected cost, the expected number of life months until death, and th</w:t>
      </w:r>
      <w:r>
        <w:rPr>
          <w:rFonts w:ascii="Times New Roman" w:hAnsi="Times New Roman" w:cs="Times New Roman"/>
          <w:sz w:val="20"/>
          <w:szCs w:val="20"/>
        </w:rPr>
        <w:t>e</w:t>
      </w:r>
      <w:r w:rsidRPr="009612BF">
        <w:rPr>
          <w:rFonts w:ascii="Times New Roman" w:hAnsi="Times New Roman" w:cs="Times New Roman"/>
          <w:sz w:val="20"/>
          <w:szCs w:val="20"/>
        </w:rPr>
        <w:t xml:space="preserve"> expected number of quality adjusted life months until death. It can also be used to run a simulation of</w:t>
      </w:r>
      <w:r>
        <w:rPr>
          <w:rFonts w:ascii="Times New Roman" w:hAnsi="Times New Roman" w:cs="Times New Roman"/>
          <w:sz w:val="20"/>
          <w:szCs w:val="20"/>
        </w:rPr>
        <w:t xml:space="preserve">, e.g., </w:t>
      </w:r>
      <w:r w:rsidRPr="009612BF">
        <w:rPr>
          <w:rFonts w:ascii="Times New Roman" w:hAnsi="Times New Roman" w:cs="Times New Roman"/>
          <w:sz w:val="20"/>
          <w:szCs w:val="20"/>
        </w:rPr>
        <w:t>100 patients, with random draws from the probability distribution at each Markov or chance node.</w:t>
      </w:r>
      <w:r w:rsidR="00BF2944">
        <w:rPr>
          <w:rFonts w:ascii="Times New Roman" w:hAnsi="Times New Roman" w:cs="Times New Roman"/>
          <w:sz w:val="20"/>
          <w:szCs w:val="20"/>
        </w:rPr>
        <w:t xml:space="preserve"> The </w:t>
      </w:r>
      <w:r w:rsidR="00C52715">
        <w:rPr>
          <w:rFonts w:ascii="Times New Roman" w:hAnsi="Times New Roman" w:cs="Times New Roman"/>
          <w:sz w:val="20"/>
          <w:szCs w:val="20"/>
        </w:rPr>
        <w:t xml:space="preserve">monthly </w:t>
      </w:r>
      <w:r w:rsidR="00BF2944">
        <w:rPr>
          <w:rFonts w:ascii="Times New Roman" w:hAnsi="Times New Roman" w:cs="Times New Roman"/>
          <w:sz w:val="20"/>
          <w:szCs w:val="20"/>
        </w:rPr>
        <w:t>quality adjusted health utility levels were: Die: 0, Severe complic</w:t>
      </w:r>
      <w:r w:rsidR="00C52715">
        <w:rPr>
          <w:rFonts w:ascii="Times New Roman" w:hAnsi="Times New Roman" w:cs="Times New Roman"/>
          <w:sz w:val="20"/>
          <w:szCs w:val="20"/>
        </w:rPr>
        <w:t>a</w:t>
      </w:r>
      <w:r w:rsidR="00BF2944">
        <w:rPr>
          <w:rFonts w:ascii="Times New Roman" w:hAnsi="Times New Roman" w:cs="Times New Roman"/>
          <w:sz w:val="20"/>
          <w:szCs w:val="20"/>
        </w:rPr>
        <w:t>tions: .</w:t>
      </w:r>
      <w:r w:rsidR="00C52715">
        <w:rPr>
          <w:rFonts w:ascii="Times New Roman" w:hAnsi="Times New Roman" w:cs="Times New Roman"/>
          <w:sz w:val="20"/>
          <w:szCs w:val="20"/>
        </w:rPr>
        <w:t>5; Limited compli</w:t>
      </w:r>
      <w:r w:rsidR="00BF2944">
        <w:rPr>
          <w:rFonts w:ascii="Times New Roman" w:hAnsi="Times New Roman" w:cs="Times New Roman"/>
          <w:sz w:val="20"/>
          <w:szCs w:val="20"/>
        </w:rPr>
        <w:t>cations, 0.75; Progress, 0.5; Respond, 1.</w:t>
      </w:r>
    </w:p>
    <w:p w:rsidR="00083947" w:rsidRDefault="00490111" w:rsidP="00083947">
      <w:pPr>
        <w:spacing w:after="0" w:line="240" w:lineRule="auto"/>
        <w:rPr>
          <w:rFonts w:ascii="Times New Roman" w:hAnsi="Times New Roman" w:cs="Times New Roman"/>
          <w:b/>
          <w:sz w:val="20"/>
          <w:szCs w:val="20"/>
        </w:rPr>
      </w:pPr>
      <w:r w:rsidRPr="00032C2F">
        <w:rPr>
          <w:rFonts w:ascii="Times New Roman" w:hAnsi="Times New Roman" w:cs="Times New Roman"/>
          <w:b/>
          <w:sz w:val="20"/>
          <w:szCs w:val="20"/>
        </w:rPr>
        <w:t xml:space="preserve">Figure 1A Markov decision tree.  </w:t>
      </w:r>
      <w:r w:rsidRPr="00032C2F">
        <w:rPr>
          <w:rFonts w:ascii="Times New Roman" w:hAnsi="Times New Roman" w:cs="Times New Roman"/>
          <w:sz w:val="20"/>
          <w:szCs w:val="20"/>
        </w:rPr>
        <w:t xml:space="preserve">The overall structure of the Markov tree </w:t>
      </w:r>
      <w:r w:rsidR="003E0B34">
        <w:rPr>
          <w:rFonts w:ascii="Times New Roman" w:hAnsi="Times New Roman" w:cs="Times New Roman"/>
          <w:sz w:val="20"/>
          <w:szCs w:val="20"/>
        </w:rPr>
        <w:t xml:space="preserve">first has a decision </w:t>
      </w:r>
      <w:r w:rsidRPr="00032C2F">
        <w:rPr>
          <w:rFonts w:ascii="Times New Roman" w:hAnsi="Times New Roman" w:cs="Times New Roman"/>
          <w:sz w:val="20"/>
          <w:szCs w:val="20"/>
        </w:rPr>
        <w:t>between chemotherapy alone and chemotherapy plus bevacizumab</w:t>
      </w:r>
      <w:r w:rsidR="00C63E61" w:rsidRPr="00C63E61">
        <w:rPr>
          <w:rFonts w:ascii="Times New Roman" w:hAnsi="Times New Roman" w:cs="Times New Roman"/>
          <w:b/>
          <w:sz w:val="20"/>
          <w:szCs w:val="20"/>
        </w:rPr>
        <w:t xml:space="preserve"> </w:t>
      </w:r>
      <w:r w:rsidR="00C63E61" w:rsidRPr="00032C2F">
        <w:rPr>
          <w:rFonts w:ascii="Times New Roman" w:hAnsi="Times New Roman" w:cs="Times New Roman"/>
          <w:b/>
          <w:sz w:val="20"/>
          <w:szCs w:val="20"/>
        </w:rPr>
        <w:t>(Minion et al</w:t>
      </w:r>
      <w:r w:rsidR="00C63E61">
        <w:rPr>
          <w:rFonts w:ascii="Times New Roman" w:hAnsi="Times New Roman" w:cs="Times New Roman"/>
          <w:b/>
          <w:sz w:val="20"/>
          <w:szCs w:val="20"/>
        </w:rPr>
        <w:t>.</w:t>
      </w:r>
      <w:r w:rsidR="00C63E61" w:rsidRPr="00032C2F">
        <w:rPr>
          <w:rFonts w:ascii="Times New Roman" w:hAnsi="Times New Roman" w:cs="Times New Roman"/>
          <w:b/>
          <w:sz w:val="20"/>
          <w:szCs w:val="20"/>
        </w:rPr>
        <w:t>2015 ONLINE ONLY)</w:t>
      </w:r>
      <w:r w:rsidR="00083947">
        <w:rPr>
          <w:rFonts w:ascii="Times New Roman" w:hAnsi="Times New Roman" w:cs="Times New Roman"/>
          <w:b/>
          <w:sz w:val="20"/>
          <w:szCs w:val="20"/>
        </w:rPr>
        <w:t xml:space="preserve">, </w:t>
      </w:r>
    </w:p>
    <w:p w:rsidR="00032C2F" w:rsidRDefault="0092338D" w:rsidP="00083947">
      <w:pPr>
        <w:spacing w:after="0" w:line="240" w:lineRule="auto"/>
        <w:rPr>
          <w:rFonts w:ascii="Times New Roman" w:hAnsi="Times New Roman" w:cs="Times New Roman"/>
          <w:sz w:val="24"/>
          <w:szCs w:val="24"/>
        </w:rPr>
      </w:pPr>
      <w:r w:rsidRPr="00032C2F">
        <w:rPr>
          <w:rFonts w:ascii="Times New Roman" w:hAnsi="Times New Roman" w:cs="Times New Roman"/>
          <w:b/>
          <w:sz w:val="20"/>
          <w:szCs w:val="20"/>
        </w:rPr>
        <w:t xml:space="preserve">Panel A </w:t>
      </w:r>
      <w:r w:rsidR="00C52715">
        <w:rPr>
          <w:rFonts w:ascii="Times New Roman" w:hAnsi="Times New Roman" w:cs="Times New Roman"/>
          <w:b/>
          <w:sz w:val="20"/>
          <w:szCs w:val="20"/>
        </w:rPr>
        <w:t xml:space="preserve">  </w:t>
      </w:r>
      <w:r w:rsidRPr="00032C2F">
        <w:rPr>
          <w:rFonts w:ascii="Times New Roman" w:hAnsi="Times New Roman" w:cs="Times New Roman"/>
          <w:sz w:val="20"/>
          <w:szCs w:val="20"/>
        </w:rPr>
        <w:t xml:space="preserve">Terminal branching of the chemotherapy alone cohort. </w:t>
      </w:r>
    </w:p>
    <w:p w:rsidR="00D517E2" w:rsidRDefault="00032C2F" w:rsidP="00D517E2">
      <w:pPr>
        <w:pStyle w:val="ListParagraph"/>
        <w:spacing w:after="0" w:line="480" w:lineRule="auto"/>
        <w:ind w:left="0"/>
        <w:rPr>
          <w:rFonts w:ascii="Times New Roman" w:hAnsi="Times New Roman" w:cs="Times New Roman"/>
          <w:sz w:val="24"/>
          <w:szCs w:val="24"/>
        </w:rPr>
      </w:pPr>
      <w:r>
        <w:rPr>
          <w:noProof/>
        </w:rPr>
        <w:drawing>
          <wp:inline distT="0" distB="0" distL="0" distR="0" wp14:anchorId="5EBC9252" wp14:editId="03463C65">
            <wp:extent cx="2916808" cy="5967248"/>
            <wp:effectExtent l="0" t="0" r="0" b="0"/>
            <wp:docPr id="1" name="Picture 2" descr="C:\Users\Primary\treeage\workspace\Other Projects\cervical cancer\final tree che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mary\treeage\workspace\Other Projects\cervical cancer\final tree chem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8275" cy="5970250"/>
                    </a:xfrm>
                    <a:prstGeom prst="rect">
                      <a:avLst/>
                    </a:prstGeom>
                    <a:noFill/>
                    <a:ln>
                      <a:noFill/>
                    </a:ln>
                  </pic:spPr>
                </pic:pic>
              </a:graphicData>
            </a:graphic>
          </wp:inline>
        </w:drawing>
      </w:r>
    </w:p>
    <w:p w:rsidR="00F33140" w:rsidRDefault="0092338D">
      <w:pPr>
        <w:rPr>
          <w:rFonts w:ascii="Times New Roman" w:hAnsi="Times New Roman" w:cs="Times New Roman"/>
          <w:b/>
          <w:sz w:val="20"/>
          <w:szCs w:val="20"/>
        </w:rPr>
      </w:pPr>
      <w:r w:rsidRPr="00032C2F">
        <w:rPr>
          <w:rFonts w:ascii="Times New Roman" w:hAnsi="Times New Roman" w:cs="Times New Roman"/>
          <w:b/>
          <w:sz w:val="20"/>
          <w:szCs w:val="20"/>
        </w:rPr>
        <w:t xml:space="preserve">Panel B </w:t>
      </w:r>
      <w:r w:rsidR="00C52715">
        <w:rPr>
          <w:rFonts w:ascii="Times New Roman" w:hAnsi="Times New Roman" w:cs="Times New Roman"/>
          <w:b/>
          <w:sz w:val="20"/>
          <w:szCs w:val="20"/>
        </w:rPr>
        <w:t xml:space="preserve">  </w:t>
      </w:r>
      <w:r w:rsidRPr="00032C2F">
        <w:rPr>
          <w:rFonts w:ascii="Times New Roman" w:hAnsi="Times New Roman" w:cs="Times New Roman"/>
          <w:sz w:val="20"/>
          <w:szCs w:val="20"/>
        </w:rPr>
        <w:t>Terminal branching of the chemotherapy plus bevacizumab cohort</w:t>
      </w:r>
      <w:r w:rsidRPr="00032C2F">
        <w:rPr>
          <w:rFonts w:ascii="Times New Roman" w:hAnsi="Times New Roman" w:cs="Times New Roman"/>
          <w:b/>
          <w:sz w:val="20"/>
          <w:szCs w:val="20"/>
        </w:rPr>
        <w:t xml:space="preserve">. </w:t>
      </w:r>
    </w:p>
    <w:p w:rsidR="00032C2F" w:rsidRDefault="00032C2F">
      <w:pPr>
        <w:rPr>
          <w:rFonts w:ascii="Times New Roman" w:hAnsi="Times New Roman" w:cs="Times New Roman"/>
          <w:bCs/>
          <w:iCs/>
          <w:sz w:val="20"/>
          <w:szCs w:val="20"/>
        </w:rPr>
      </w:pPr>
      <w:r>
        <w:rPr>
          <w:noProof/>
        </w:rPr>
        <w:drawing>
          <wp:inline distT="0" distB="0" distL="0" distR="0" wp14:anchorId="388791AF" wp14:editId="43ECB9BF">
            <wp:extent cx="3767959" cy="7708549"/>
            <wp:effectExtent l="0" t="0" r="4445" b="6985"/>
            <wp:docPr id="9" name="Picture 3" descr="C:\Users\Primary\treeage\workspace\Other Projects\cervical cancer\final tree chemo+be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mary\treeage\workspace\Other Projects\cervical cancer\final tree chemo+beva.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7959" cy="7708549"/>
                    </a:xfrm>
                    <a:prstGeom prst="rect">
                      <a:avLst/>
                    </a:prstGeom>
                    <a:noFill/>
                    <a:ln>
                      <a:noFill/>
                    </a:ln>
                  </pic:spPr>
                </pic:pic>
              </a:graphicData>
            </a:graphic>
          </wp:inline>
        </w:drawing>
      </w:r>
      <w:r>
        <w:rPr>
          <w:rFonts w:ascii="Times New Roman" w:hAnsi="Times New Roman" w:cs="Times New Roman"/>
          <w:bCs/>
          <w:iCs/>
          <w:sz w:val="20"/>
          <w:szCs w:val="20"/>
        </w:rPr>
        <w:br w:type="page"/>
      </w:r>
    </w:p>
    <w:p w:rsidR="0092338D" w:rsidRPr="00E55326" w:rsidRDefault="0092338D" w:rsidP="0092338D">
      <w:pPr>
        <w:rPr>
          <w:rFonts w:ascii="Times New Roman" w:hAnsi="Times New Roman" w:cs="Times New Roman"/>
          <w:b/>
          <w:sz w:val="20"/>
          <w:szCs w:val="20"/>
        </w:rPr>
      </w:pPr>
      <w:r w:rsidRPr="00E55326">
        <w:rPr>
          <w:rFonts w:ascii="Times New Roman" w:hAnsi="Times New Roman" w:cs="Times New Roman"/>
          <w:b/>
          <w:sz w:val="20"/>
          <w:szCs w:val="20"/>
        </w:rPr>
        <w:t xml:space="preserve">Figure 2. </w:t>
      </w:r>
      <w:r w:rsidR="00C63E61">
        <w:rPr>
          <w:rFonts w:ascii="Times New Roman" w:hAnsi="Times New Roman" w:cs="Times New Roman"/>
          <w:b/>
          <w:sz w:val="20"/>
          <w:szCs w:val="20"/>
        </w:rPr>
        <w:t xml:space="preserve"> </w:t>
      </w:r>
      <w:r w:rsidRPr="00E55326">
        <w:rPr>
          <w:rFonts w:ascii="Times New Roman" w:hAnsi="Times New Roman" w:cs="Times New Roman"/>
          <w:b/>
          <w:sz w:val="20"/>
          <w:szCs w:val="20"/>
        </w:rPr>
        <w:t>Cost effectiveness analysis of chemotherapy with and without bevacizumab in life months until death</w:t>
      </w:r>
      <w:r w:rsidR="00C63E61" w:rsidRPr="00C63E61">
        <w:rPr>
          <w:rFonts w:ascii="Times New Roman" w:hAnsi="Times New Roman" w:cs="Times New Roman"/>
          <w:b/>
          <w:sz w:val="20"/>
          <w:szCs w:val="20"/>
        </w:rPr>
        <w:t xml:space="preserve"> </w:t>
      </w:r>
      <w:r w:rsidR="00C63E61" w:rsidRPr="00E55326">
        <w:rPr>
          <w:rFonts w:ascii="Times New Roman" w:hAnsi="Times New Roman" w:cs="Times New Roman"/>
          <w:b/>
          <w:sz w:val="20"/>
          <w:szCs w:val="20"/>
        </w:rPr>
        <w:t>(Minion et al</w:t>
      </w:r>
      <w:r w:rsidR="00C63E61">
        <w:rPr>
          <w:rFonts w:ascii="Times New Roman" w:hAnsi="Times New Roman" w:cs="Times New Roman"/>
          <w:b/>
          <w:sz w:val="20"/>
          <w:szCs w:val="20"/>
        </w:rPr>
        <w:t>.</w:t>
      </w:r>
      <w:r w:rsidR="00C63E61" w:rsidRPr="00E55326">
        <w:rPr>
          <w:rFonts w:ascii="Times New Roman" w:hAnsi="Times New Roman" w:cs="Times New Roman"/>
          <w:b/>
          <w:sz w:val="20"/>
          <w:szCs w:val="20"/>
        </w:rPr>
        <w:t xml:space="preserve"> 2015)</w:t>
      </w:r>
    </w:p>
    <w:p w:rsidR="00585A6F" w:rsidRPr="00200E65" w:rsidRDefault="008A2AD0" w:rsidP="00585A6F">
      <w:pPr>
        <w:jc w:val="center"/>
        <w:rPr>
          <w:rFonts w:ascii="Times New Roman" w:hAnsi="Times New Roman" w:cs="Times New Roman"/>
          <w:b/>
        </w:rPr>
      </w:pPr>
      <w:r>
        <w:rPr>
          <w:noProof/>
        </w:rPr>
        <w:drawing>
          <wp:inline distT="0" distB="0" distL="0" distR="0" wp14:anchorId="68C99FA8" wp14:editId="19FEDC9B">
            <wp:extent cx="4516821" cy="2293883"/>
            <wp:effectExtent l="0" t="0" r="1714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5A6F" w:rsidRPr="00E55326" w:rsidRDefault="00585A6F" w:rsidP="00585A6F">
      <w:pPr>
        <w:rPr>
          <w:rFonts w:ascii="Times New Roman" w:hAnsi="Times New Roman" w:cs="Times New Roman"/>
          <w:sz w:val="20"/>
          <w:szCs w:val="20"/>
        </w:rPr>
      </w:pPr>
      <w:r w:rsidRPr="00E55326">
        <w:rPr>
          <w:rFonts w:ascii="Times New Roman" w:hAnsi="Times New Roman" w:cs="Times New Roman"/>
          <w:b/>
          <w:sz w:val="20"/>
          <w:szCs w:val="20"/>
        </w:rPr>
        <w:t xml:space="preserve">Figure 3. </w:t>
      </w:r>
      <w:r w:rsidR="00C63E61">
        <w:rPr>
          <w:rFonts w:ascii="Times New Roman" w:hAnsi="Times New Roman" w:cs="Times New Roman"/>
          <w:b/>
          <w:sz w:val="20"/>
          <w:szCs w:val="20"/>
        </w:rPr>
        <w:t xml:space="preserve"> </w:t>
      </w:r>
      <w:r w:rsidRPr="00E55326">
        <w:rPr>
          <w:rFonts w:ascii="Times New Roman" w:hAnsi="Times New Roman" w:cs="Times New Roman"/>
          <w:b/>
          <w:sz w:val="20"/>
          <w:szCs w:val="20"/>
        </w:rPr>
        <w:t>Cost-effectiveness of chemotherapy with and without bevacizumab for QALmonth and with projected reduction in cost of bevacizumab</w:t>
      </w:r>
      <w:r w:rsidRPr="00E55326">
        <w:rPr>
          <w:rFonts w:ascii="Times New Roman" w:hAnsi="Times New Roman" w:cs="Times New Roman"/>
          <w:sz w:val="20"/>
          <w:szCs w:val="20"/>
        </w:rPr>
        <w:t xml:space="preserve"> </w:t>
      </w:r>
      <w:r w:rsidR="00C63E61" w:rsidRPr="00E55326">
        <w:rPr>
          <w:rFonts w:ascii="Times New Roman" w:hAnsi="Times New Roman" w:cs="Times New Roman"/>
          <w:b/>
          <w:sz w:val="20"/>
          <w:szCs w:val="20"/>
        </w:rPr>
        <w:t>(Minion et al</w:t>
      </w:r>
      <w:r w:rsidR="00C63E61">
        <w:rPr>
          <w:rFonts w:ascii="Times New Roman" w:hAnsi="Times New Roman" w:cs="Times New Roman"/>
          <w:b/>
          <w:sz w:val="20"/>
          <w:szCs w:val="20"/>
        </w:rPr>
        <w:t>.</w:t>
      </w:r>
      <w:r w:rsidR="00C63E61" w:rsidRPr="00E55326">
        <w:rPr>
          <w:rFonts w:ascii="Times New Roman" w:hAnsi="Times New Roman" w:cs="Times New Roman"/>
          <w:b/>
          <w:sz w:val="20"/>
          <w:szCs w:val="20"/>
        </w:rPr>
        <w:t xml:space="preserve"> 2015)</w:t>
      </w:r>
    </w:p>
    <w:p w:rsidR="00585A6F" w:rsidRDefault="00585A6F" w:rsidP="00585A6F">
      <w:pPr>
        <w:jc w:val="center"/>
        <w:rPr>
          <w:rFonts w:ascii="Times New Roman" w:hAnsi="Times New Roman" w:cs="Times New Roman"/>
        </w:rPr>
      </w:pPr>
      <w:r>
        <w:rPr>
          <w:noProof/>
        </w:rPr>
        <w:drawing>
          <wp:inline distT="0" distB="0" distL="0" distR="0" wp14:anchorId="047F5CA4" wp14:editId="2511B155">
            <wp:extent cx="4311869" cy="2435772"/>
            <wp:effectExtent l="0" t="0" r="12700" b="222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2715" w:rsidRDefault="00F17E36" w:rsidP="00C52715">
      <w:pPr>
        <w:spacing w:after="0" w:line="240" w:lineRule="auto"/>
        <w:rPr>
          <w:rFonts w:ascii="Times New Roman" w:hAnsi="Times New Roman" w:cs="Times New Roman"/>
        </w:rPr>
      </w:pPr>
      <w:r>
        <w:rPr>
          <w:rFonts w:ascii="Times New Roman" w:hAnsi="Times New Roman" w:cs="Times New Roman"/>
        </w:rPr>
        <w:t>Conclusions</w:t>
      </w:r>
    </w:p>
    <w:p w:rsidR="00E55326" w:rsidRPr="006152DF" w:rsidRDefault="00E55326" w:rsidP="004720EF">
      <w:pPr>
        <w:spacing w:after="0" w:line="240" w:lineRule="auto"/>
        <w:ind w:firstLine="720"/>
        <w:jc w:val="both"/>
        <w:rPr>
          <w:rFonts w:ascii="Times New Roman" w:hAnsi="Times New Roman" w:cs="Times New Roman"/>
          <w:sz w:val="20"/>
          <w:szCs w:val="20"/>
        </w:rPr>
      </w:pPr>
      <w:r w:rsidRPr="006152DF">
        <w:rPr>
          <w:rFonts w:ascii="Times New Roman" w:eastAsiaTheme="minorEastAsia" w:hAnsi="Times New Roman" w:cs="Times New Roman"/>
          <w:bCs/>
          <w:color w:val="000000"/>
          <w:kern w:val="24"/>
          <w:sz w:val="20"/>
          <w:szCs w:val="20"/>
        </w:rPr>
        <w:t xml:space="preserve">On average, patients survived 14.7 months at a US medical system cost of $5,938 with chemotherapy alone vs. 17.7 months at a cost of $79,097 with chemo plus bevacizumab. </w:t>
      </w:r>
      <w:r w:rsidRPr="006152DF">
        <w:rPr>
          <w:rFonts w:ascii="Times New Roman" w:hAnsi="Times New Roman" w:cs="Times New Roman"/>
          <w:sz w:val="20"/>
          <w:szCs w:val="20"/>
        </w:rPr>
        <w:t>The estimated total cost of therapy with bevacizumab is approximately 13.3 times that for chemotherapy alone, adding $73,159 per 3.0 months of life gained.  So the incremental cost effectiveness ratio (ICER) is $24,386 extra cost/extra month.</w:t>
      </w:r>
    </w:p>
    <w:p w:rsidR="00E55326" w:rsidRPr="006152DF" w:rsidRDefault="00E55326" w:rsidP="004720EF">
      <w:pPr>
        <w:spacing w:after="0" w:line="240" w:lineRule="auto"/>
        <w:ind w:firstLine="720"/>
        <w:jc w:val="both"/>
        <w:rPr>
          <w:rFonts w:ascii="Times New Roman" w:hAnsi="Times New Roman" w:cs="Times New Roman"/>
          <w:sz w:val="20"/>
          <w:szCs w:val="20"/>
        </w:rPr>
      </w:pPr>
      <w:r w:rsidRPr="006152DF">
        <w:rPr>
          <w:rFonts w:ascii="Times New Roman" w:hAnsi="Times New Roman" w:cs="Times New Roman"/>
          <w:bCs/>
          <w:iCs/>
          <w:sz w:val="20"/>
          <w:szCs w:val="20"/>
        </w:rPr>
        <w:t xml:space="preserve">Patients experienced a health quality level each month depending on the treatment effectiveness and on any complications, ranging from 0 for death to 1 for the baseline of 1 month responding to advanced cervical cancer treatment. Patients survived </w:t>
      </w:r>
      <w:r w:rsidRPr="006152DF">
        <w:rPr>
          <w:rFonts w:ascii="Times New Roman" w:eastAsiaTheme="minorEastAsia" w:hAnsi="Times New Roman" w:cs="Times New Roman"/>
          <w:bCs/>
          <w:color w:val="000000"/>
          <w:kern w:val="24"/>
          <w:sz w:val="20"/>
          <w:szCs w:val="20"/>
        </w:rPr>
        <w:t>11.2 quality adjusted life months (QALmonths</w:t>
      </w:r>
      <w:r w:rsidR="00083947" w:rsidRPr="006152DF">
        <w:rPr>
          <w:rFonts w:ascii="Times New Roman" w:eastAsiaTheme="minorEastAsia" w:hAnsi="Times New Roman" w:cs="Times New Roman"/>
          <w:bCs/>
          <w:color w:val="000000"/>
          <w:kern w:val="24"/>
          <w:sz w:val="20"/>
          <w:szCs w:val="20"/>
          <w:vertAlign w:val="superscript"/>
        </w:rPr>
        <w:t>cc</w:t>
      </w:r>
      <w:r w:rsidRPr="006152DF">
        <w:rPr>
          <w:rFonts w:ascii="Times New Roman" w:eastAsiaTheme="minorEastAsia" w:hAnsi="Times New Roman" w:cs="Times New Roman"/>
          <w:bCs/>
          <w:color w:val="000000"/>
          <w:kern w:val="24"/>
          <w:sz w:val="20"/>
          <w:szCs w:val="20"/>
        </w:rPr>
        <w:t>) with chemo alone vs. 13.9 QALmonths</w:t>
      </w:r>
      <w:r w:rsidR="004720EF" w:rsidRPr="006152DF">
        <w:rPr>
          <w:rFonts w:ascii="Times New Roman" w:eastAsiaTheme="minorEastAsia" w:hAnsi="Times New Roman" w:cs="Times New Roman"/>
          <w:bCs/>
          <w:color w:val="000000"/>
          <w:kern w:val="24"/>
          <w:sz w:val="20"/>
          <w:szCs w:val="20"/>
          <w:vertAlign w:val="superscript"/>
        </w:rPr>
        <w:t>cc</w:t>
      </w:r>
      <w:r w:rsidRPr="006152DF">
        <w:rPr>
          <w:rFonts w:ascii="Times New Roman" w:eastAsiaTheme="minorEastAsia" w:hAnsi="Times New Roman" w:cs="Times New Roman"/>
          <w:bCs/>
          <w:color w:val="000000"/>
          <w:kern w:val="24"/>
          <w:sz w:val="20"/>
          <w:szCs w:val="20"/>
        </w:rPr>
        <w:t xml:space="preserve"> with chemo plus bevacizumab. </w:t>
      </w:r>
      <w:r w:rsidRPr="006152DF">
        <w:rPr>
          <w:rFonts w:ascii="Times New Roman" w:hAnsi="Times New Roman" w:cs="Times New Roman"/>
          <w:sz w:val="20"/>
          <w:szCs w:val="20"/>
        </w:rPr>
        <w:t>The ICER ratio increased to $27,096/QALmonth</w:t>
      </w:r>
      <w:r w:rsidR="004720EF" w:rsidRPr="006152DF">
        <w:rPr>
          <w:rFonts w:ascii="Times New Roman" w:eastAsiaTheme="minorEastAsia" w:hAnsi="Times New Roman" w:cs="Times New Roman"/>
          <w:bCs/>
          <w:color w:val="000000"/>
          <w:kern w:val="24"/>
          <w:sz w:val="20"/>
          <w:szCs w:val="20"/>
          <w:vertAlign w:val="superscript"/>
        </w:rPr>
        <w:t>cc</w:t>
      </w:r>
      <w:r w:rsidRPr="006152DF">
        <w:rPr>
          <w:rFonts w:ascii="Times New Roman" w:hAnsi="Times New Roman" w:cs="Times New Roman"/>
          <w:sz w:val="20"/>
          <w:szCs w:val="20"/>
        </w:rPr>
        <w:t xml:space="preserve"> due to the smaller difference in QALmonths</w:t>
      </w:r>
      <w:r w:rsidR="004720EF" w:rsidRPr="006152DF">
        <w:rPr>
          <w:rFonts w:ascii="Times New Roman" w:eastAsiaTheme="minorEastAsia" w:hAnsi="Times New Roman" w:cs="Times New Roman"/>
          <w:bCs/>
          <w:color w:val="000000"/>
          <w:kern w:val="24"/>
          <w:sz w:val="20"/>
          <w:szCs w:val="20"/>
          <w:vertAlign w:val="superscript"/>
        </w:rPr>
        <w:t>cc</w:t>
      </w:r>
      <w:r w:rsidRPr="006152DF">
        <w:rPr>
          <w:rFonts w:ascii="Times New Roman" w:hAnsi="Times New Roman" w:cs="Times New Roman"/>
          <w:sz w:val="20"/>
          <w:szCs w:val="20"/>
        </w:rPr>
        <w:t xml:space="preserve">. </w:t>
      </w:r>
    </w:p>
    <w:p w:rsidR="00E55326" w:rsidRDefault="00E55326" w:rsidP="004720EF">
      <w:pPr>
        <w:spacing w:after="0" w:line="240" w:lineRule="auto"/>
        <w:ind w:firstLine="720"/>
        <w:jc w:val="both"/>
        <w:rPr>
          <w:rFonts w:ascii="Times New Roman" w:hAnsi="Times New Roman" w:cs="Times New Roman"/>
          <w:sz w:val="20"/>
          <w:szCs w:val="20"/>
        </w:rPr>
      </w:pPr>
      <w:r w:rsidRPr="006152DF">
        <w:rPr>
          <w:rFonts w:ascii="Times New Roman" w:hAnsi="Times New Roman" w:cs="Times New Roman"/>
          <w:sz w:val="20"/>
          <w:szCs w:val="20"/>
        </w:rPr>
        <w:t>Increased costs associated with bevacizumab therapy for advanced cervical cancer are primarily due to the cost of the drug and not the management of bevacizumab-induced complications. Possible future cost reductions in bevacizumab or biosimilars would result in dramatic declines in the added cost of gaining more months of life.</w:t>
      </w:r>
    </w:p>
    <w:p w:rsidR="00525C32" w:rsidRPr="006152DF" w:rsidRDefault="00525C32" w:rsidP="00525C3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See Bai, del Campo and Keller (2016) for a review of software alternatives</w:t>
      </w:r>
      <w:r w:rsidRPr="00525C32">
        <w:rPr>
          <w:rFonts w:ascii="Times New Roman" w:hAnsi="Times New Roman" w:cs="Times New Roman"/>
          <w:sz w:val="20"/>
          <w:szCs w:val="20"/>
        </w:rPr>
        <w:t xml:space="preserve"> </w:t>
      </w:r>
      <w:r>
        <w:rPr>
          <w:rFonts w:ascii="Times New Roman" w:hAnsi="Times New Roman" w:cs="Times New Roman"/>
          <w:sz w:val="20"/>
          <w:szCs w:val="20"/>
        </w:rPr>
        <w:t>In our talk, we compare three software packages for Markov decision trees: TreeAge, Sto Tree by Godon Hazen, and the markovchain package in R.</w:t>
      </w:r>
    </w:p>
    <w:p w:rsidR="00E55326" w:rsidRDefault="00E55326" w:rsidP="004720EF">
      <w:pPr>
        <w:jc w:val="both"/>
        <w:rPr>
          <w:rFonts w:ascii="Times New Roman" w:hAnsi="Times New Roman" w:cs="Times New Roman"/>
        </w:rPr>
      </w:pPr>
    </w:p>
    <w:p w:rsidR="00F17E36" w:rsidRDefault="00F17E36" w:rsidP="001C5C85">
      <w:pPr>
        <w:rPr>
          <w:rFonts w:ascii="Times New Roman" w:hAnsi="Times New Roman" w:cs="Times New Roman"/>
        </w:rPr>
      </w:pPr>
      <w:r>
        <w:rPr>
          <w:rFonts w:ascii="Times New Roman" w:hAnsi="Times New Roman" w:cs="Times New Roman"/>
        </w:rPr>
        <w:t>Bibliography</w:t>
      </w:r>
    </w:p>
    <w:p w:rsidR="004720EF" w:rsidRPr="004720EF" w:rsidRDefault="00F17E36" w:rsidP="004720EF">
      <w:pPr>
        <w:pStyle w:val="ListParagraph"/>
        <w:numPr>
          <w:ilvl w:val="0"/>
          <w:numId w:val="5"/>
        </w:numPr>
        <w:spacing w:after="0" w:line="240" w:lineRule="auto"/>
        <w:ind w:left="360"/>
        <w:jc w:val="both"/>
        <w:rPr>
          <w:rFonts w:ascii="Times New Roman" w:eastAsiaTheme="minorEastAsia" w:hAnsi="Times New Roman" w:cs="Times New Roman"/>
          <w:sz w:val="18"/>
          <w:szCs w:val="18"/>
          <w:lang w:eastAsia="zh-CN"/>
        </w:rPr>
      </w:pPr>
      <w:r w:rsidRPr="004720EF">
        <w:rPr>
          <w:rFonts w:ascii="Times New Roman" w:hAnsi="Times New Roman" w:cs="Times New Roman"/>
          <w:sz w:val="18"/>
          <w:szCs w:val="18"/>
        </w:rPr>
        <w:t xml:space="preserve">The talk is based on: Lindsey E. Minion, MD (Univ. of Arizona Cancer Center &amp; Creighton University at St. Joseph’s Hospital and Medical Center, Phoenix); Jiaru Bai (Merage doctoral student); Bradley J. Monk, MD (Gynecologic Oncology, UCI); L. Robin Keller, PhD; Ramez N. Eskander, MD (Gynecologic Oncology, UCI); Gareth K. Forde, MD, PhD, MBA (Gynecologic Oncology, UCI) ; John K. Chan, MD (California Pacific Palo Alto Medical Foundation, Sutter Cancer Institute, San Francisco), Krishnansu S. Tewari (Gynecologic Oncology, UCI), “A Markov Model to Evaluate Cost-Effectiveness of Antiangiogenesis Therapy Using Bevacizumab in Advanced Cervical Cancer”,  </w:t>
      </w:r>
      <w:r w:rsidRPr="004720EF">
        <w:rPr>
          <w:rFonts w:ascii="Times New Roman" w:hAnsi="Times New Roman" w:cs="Times New Roman"/>
          <w:sz w:val="18"/>
          <w:szCs w:val="18"/>
          <w:u w:val="single"/>
        </w:rPr>
        <w:t>Gynecologic Oncology</w:t>
      </w:r>
      <w:r w:rsidRPr="004720EF">
        <w:rPr>
          <w:rFonts w:ascii="Times New Roman" w:hAnsi="Times New Roman" w:cs="Times New Roman"/>
          <w:sz w:val="18"/>
          <w:szCs w:val="18"/>
        </w:rPr>
        <w:t>,  Vol. 137, Issue 3, June 2015, pages 490-496.</w:t>
      </w:r>
    </w:p>
    <w:p w:rsidR="009B72D5" w:rsidRPr="004720EF" w:rsidRDefault="00B730F3" w:rsidP="004720EF">
      <w:pPr>
        <w:pStyle w:val="ListParagraph"/>
        <w:spacing w:after="0" w:line="240" w:lineRule="auto"/>
        <w:ind w:left="360"/>
        <w:jc w:val="both"/>
        <w:rPr>
          <w:rFonts w:ascii="Times New Roman" w:eastAsiaTheme="minorEastAsia" w:hAnsi="Times New Roman" w:cs="Times New Roman"/>
          <w:sz w:val="18"/>
          <w:szCs w:val="18"/>
          <w:lang w:eastAsia="zh-CN"/>
        </w:rPr>
      </w:pPr>
      <w:hyperlink r:id="rId13" w:history="1">
        <w:r w:rsidR="00F17E36" w:rsidRPr="004720EF">
          <w:rPr>
            <w:rStyle w:val="Hyperlink"/>
            <w:rFonts w:ascii="Times New Roman" w:hAnsi="Times New Roman" w:cs="Times New Roman"/>
            <w:sz w:val="18"/>
            <w:szCs w:val="18"/>
          </w:rPr>
          <w:t>http://www.sciencedirect.com/science/article/pii/S0090825815006769#</w:t>
        </w:r>
      </w:hyperlink>
    </w:p>
    <w:p w:rsidR="009B72D5" w:rsidRPr="004720EF" w:rsidRDefault="00A65569" w:rsidP="004720EF">
      <w:pPr>
        <w:pStyle w:val="ListParagraph"/>
        <w:numPr>
          <w:ilvl w:val="0"/>
          <w:numId w:val="5"/>
        </w:numPr>
        <w:spacing w:after="0" w:line="240" w:lineRule="auto"/>
        <w:ind w:left="360"/>
        <w:jc w:val="both"/>
        <w:rPr>
          <w:rFonts w:ascii="Times New Roman" w:eastAsiaTheme="minorEastAsia" w:hAnsi="Times New Roman" w:cs="Times New Roman"/>
          <w:sz w:val="18"/>
          <w:szCs w:val="18"/>
          <w:lang w:eastAsia="zh-CN"/>
        </w:rPr>
      </w:pPr>
      <w:r w:rsidRPr="004720EF">
        <w:rPr>
          <w:rFonts w:ascii="Times New Roman" w:eastAsiaTheme="minorEastAsia" w:hAnsi="Times New Roman" w:cs="Times New Roman"/>
          <w:sz w:val="18"/>
          <w:szCs w:val="18"/>
          <w:lang w:eastAsia="zh-CN"/>
        </w:rPr>
        <w:t xml:space="preserve">FDA News Release. FDA approves Avastin to treat patients with aggressive and late-stage cervical cancer. August 14, 2014. </w:t>
      </w:r>
      <w:hyperlink r:id="rId14" w:history="1">
        <w:r w:rsidRPr="004720EF">
          <w:rPr>
            <w:rFonts w:ascii="Times New Roman" w:eastAsiaTheme="minorEastAsia" w:hAnsi="Times New Roman" w:cs="Times New Roman"/>
            <w:sz w:val="18"/>
            <w:szCs w:val="18"/>
            <w:lang w:eastAsia="zh-CN"/>
          </w:rPr>
          <w:t>http://www.fda.gov/NewsEvents/Newsroom/PressAnnouncements/ucm410121.htm</w:t>
        </w:r>
      </w:hyperlink>
      <w:r w:rsidRPr="004720EF">
        <w:rPr>
          <w:rFonts w:ascii="Times New Roman" w:eastAsiaTheme="minorEastAsia" w:hAnsi="Times New Roman" w:cs="Times New Roman"/>
          <w:sz w:val="18"/>
          <w:szCs w:val="18"/>
          <w:lang w:eastAsia="zh-CN"/>
        </w:rPr>
        <w:t>.</w:t>
      </w:r>
    </w:p>
    <w:p w:rsidR="008F2922" w:rsidRPr="00DD4B3F" w:rsidRDefault="008F2922" w:rsidP="004720EF">
      <w:pPr>
        <w:pStyle w:val="ListParagraph"/>
        <w:numPr>
          <w:ilvl w:val="0"/>
          <w:numId w:val="5"/>
        </w:numPr>
        <w:spacing w:after="0" w:line="240" w:lineRule="auto"/>
        <w:ind w:left="360"/>
        <w:jc w:val="both"/>
        <w:rPr>
          <w:rFonts w:ascii="Times New Roman" w:eastAsiaTheme="minorEastAsia" w:hAnsi="Times New Roman" w:cs="Times New Roman"/>
          <w:sz w:val="18"/>
          <w:szCs w:val="18"/>
          <w:lang w:eastAsia="zh-CN"/>
        </w:rPr>
      </w:pPr>
      <w:r w:rsidRPr="004720EF">
        <w:rPr>
          <w:rFonts w:ascii="Times New Roman" w:eastAsiaTheme="minorEastAsia" w:hAnsi="Times New Roman" w:cs="Times New Roman"/>
          <w:sz w:val="18"/>
          <w:szCs w:val="18"/>
          <w:lang w:eastAsia="zh-CN"/>
        </w:rPr>
        <w:t xml:space="preserve">Monk BJ, Sill MW, McMeekin DS, Cohn DE, et al:  Phase III trial of four cisplatin-containing doublet combinations in stage IVB, recurrent, or persistent cervical carcinoma: A Gynecologic Oncology Group study. </w:t>
      </w:r>
      <w:r w:rsidRPr="004720EF">
        <w:rPr>
          <w:rFonts w:ascii="Times New Roman" w:eastAsiaTheme="minorEastAsia" w:hAnsi="Times New Roman" w:cs="Times New Roman"/>
          <w:sz w:val="18"/>
          <w:szCs w:val="18"/>
          <w:u w:val="single"/>
          <w:lang w:eastAsia="zh-CN"/>
        </w:rPr>
        <w:t>J Clin Oncol</w:t>
      </w:r>
      <w:r w:rsidRPr="004720EF">
        <w:rPr>
          <w:rFonts w:ascii="Times New Roman" w:eastAsiaTheme="minorEastAsia" w:hAnsi="Times New Roman" w:cs="Times New Roman"/>
          <w:sz w:val="18"/>
          <w:szCs w:val="18"/>
          <w:lang w:eastAsia="zh-CN"/>
        </w:rPr>
        <w:t xml:space="preserve"> 27:4649-55, 2009.</w:t>
      </w:r>
    </w:p>
    <w:p w:rsidR="008F2922" w:rsidRPr="00DD4B3F" w:rsidRDefault="008F2922" w:rsidP="004720EF">
      <w:pPr>
        <w:pStyle w:val="ListParagraph"/>
        <w:numPr>
          <w:ilvl w:val="0"/>
          <w:numId w:val="5"/>
        </w:numPr>
        <w:spacing w:after="0" w:line="240" w:lineRule="auto"/>
        <w:ind w:left="360"/>
        <w:jc w:val="both"/>
        <w:rPr>
          <w:rFonts w:ascii="Times New Roman" w:eastAsiaTheme="minorEastAsia" w:hAnsi="Times New Roman" w:cs="Times New Roman"/>
          <w:sz w:val="18"/>
          <w:szCs w:val="18"/>
          <w:lang w:eastAsia="zh-CN"/>
        </w:rPr>
      </w:pPr>
      <w:r w:rsidRPr="00DD4B3F">
        <w:rPr>
          <w:rFonts w:ascii="Times New Roman" w:eastAsiaTheme="minorEastAsia" w:hAnsi="Times New Roman" w:cs="Times New Roman"/>
          <w:sz w:val="18"/>
          <w:szCs w:val="18"/>
          <w:lang w:eastAsia="zh-CN"/>
        </w:rPr>
        <w:t>Monk BJ, Sill MW, Burger RA, et al:  Phase II trial of bevacizumab in the treatment of persistent or recurrent squamous cell carcinoma of the cervix: A Gynecologic Oncology Group study</w:t>
      </w:r>
      <w:r w:rsidRPr="00DD4B3F">
        <w:rPr>
          <w:rFonts w:ascii="Times New Roman" w:eastAsiaTheme="minorEastAsia" w:hAnsi="Times New Roman" w:cs="Times New Roman"/>
          <w:sz w:val="18"/>
          <w:szCs w:val="18"/>
          <w:u w:val="single"/>
          <w:lang w:eastAsia="zh-CN"/>
        </w:rPr>
        <w:t>. J Clin Oncol</w:t>
      </w:r>
      <w:r w:rsidRPr="00DD4B3F">
        <w:rPr>
          <w:rFonts w:ascii="Times New Roman" w:eastAsiaTheme="minorEastAsia" w:hAnsi="Times New Roman" w:cs="Times New Roman"/>
          <w:sz w:val="18"/>
          <w:szCs w:val="18"/>
          <w:lang w:eastAsia="zh-CN"/>
        </w:rPr>
        <w:t xml:space="preserve"> 27:1069-74, 2009.</w:t>
      </w:r>
    </w:p>
    <w:p w:rsidR="008F2922" w:rsidRPr="00DD4B3F" w:rsidRDefault="008F2922" w:rsidP="00DD4B3F">
      <w:pPr>
        <w:pStyle w:val="ListParagraph"/>
        <w:numPr>
          <w:ilvl w:val="0"/>
          <w:numId w:val="5"/>
        </w:numPr>
        <w:spacing w:after="0" w:line="240" w:lineRule="auto"/>
        <w:ind w:left="360"/>
        <w:jc w:val="both"/>
        <w:rPr>
          <w:rFonts w:ascii="Times New Roman" w:eastAsiaTheme="minorEastAsia" w:hAnsi="Times New Roman" w:cs="Times New Roman"/>
          <w:sz w:val="18"/>
          <w:szCs w:val="18"/>
          <w:lang w:eastAsia="zh-CN"/>
        </w:rPr>
      </w:pPr>
      <w:r w:rsidRPr="00DD4B3F">
        <w:rPr>
          <w:rFonts w:ascii="Times New Roman" w:eastAsiaTheme="minorEastAsia" w:hAnsi="Times New Roman" w:cs="Times New Roman"/>
          <w:sz w:val="18"/>
          <w:szCs w:val="18"/>
          <w:lang w:eastAsia="zh-CN"/>
        </w:rPr>
        <w:t>Tewari KS, Sill MW, Long HJ 3</w:t>
      </w:r>
      <w:r w:rsidRPr="00DD4B3F">
        <w:rPr>
          <w:rFonts w:ascii="Times New Roman" w:eastAsiaTheme="minorEastAsia" w:hAnsi="Times New Roman" w:cs="Times New Roman"/>
          <w:sz w:val="18"/>
          <w:szCs w:val="18"/>
          <w:vertAlign w:val="superscript"/>
          <w:lang w:eastAsia="zh-CN"/>
        </w:rPr>
        <w:t>rd</w:t>
      </w:r>
      <w:r w:rsidRPr="00DD4B3F">
        <w:rPr>
          <w:rFonts w:ascii="Times New Roman" w:eastAsiaTheme="minorEastAsia" w:hAnsi="Times New Roman" w:cs="Times New Roman"/>
          <w:sz w:val="18"/>
          <w:szCs w:val="18"/>
          <w:lang w:eastAsia="zh-CN"/>
        </w:rPr>
        <w:t xml:space="preserve">, et al:  Improved survival with bevacizumab in advanced cervical cancer. </w:t>
      </w:r>
      <w:r w:rsidRPr="00DD4B3F">
        <w:rPr>
          <w:rFonts w:ascii="Times New Roman" w:eastAsiaTheme="minorEastAsia" w:hAnsi="Times New Roman" w:cs="Times New Roman"/>
          <w:sz w:val="18"/>
          <w:szCs w:val="18"/>
          <w:u w:val="single"/>
          <w:lang w:eastAsia="zh-CN"/>
        </w:rPr>
        <w:t>N Engl J Med</w:t>
      </w:r>
      <w:r w:rsidRPr="00DD4B3F">
        <w:rPr>
          <w:rFonts w:ascii="Times New Roman" w:eastAsiaTheme="minorEastAsia" w:hAnsi="Times New Roman" w:cs="Times New Roman"/>
          <w:sz w:val="18"/>
          <w:szCs w:val="18"/>
          <w:lang w:eastAsia="zh-CN"/>
        </w:rPr>
        <w:t xml:space="preserve"> 370:734-43, 2014.</w:t>
      </w:r>
    </w:p>
    <w:p w:rsidR="000A1A55" w:rsidRDefault="008F2922" w:rsidP="00DD4B3F">
      <w:pPr>
        <w:pStyle w:val="ListParagraph"/>
        <w:numPr>
          <w:ilvl w:val="0"/>
          <w:numId w:val="5"/>
        </w:numPr>
        <w:spacing w:after="0" w:line="240" w:lineRule="auto"/>
        <w:ind w:left="360"/>
        <w:jc w:val="both"/>
        <w:rPr>
          <w:rFonts w:ascii="Times New Roman" w:eastAsia="Times New Roman" w:hAnsi="Times New Roman" w:cs="Times New Roman"/>
          <w:sz w:val="18"/>
          <w:szCs w:val="18"/>
        </w:rPr>
      </w:pPr>
      <w:r w:rsidRPr="00DD4B3F">
        <w:rPr>
          <w:rFonts w:ascii="Times New Roman" w:eastAsiaTheme="minorEastAsia" w:hAnsi="Times New Roman" w:cs="Times New Roman"/>
          <w:sz w:val="18"/>
          <w:szCs w:val="18"/>
          <w:lang w:eastAsia="zh-CN"/>
        </w:rPr>
        <w:t xml:space="preserve">Penson RT, Huang HQ, Tewari KS, et al:  Patient reported outcomes in a randomized trial of bevacizumab in the treatment of advanced cervical cancer: A Gynecologic Oncology Group study. </w:t>
      </w:r>
      <w:r w:rsidRPr="00DD4B3F">
        <w:rPr>
          <w:rFonts w:ascii="Times New Roman" w:eastAsiaTheme="minorEastAsia" w:hAnsi="Times New Roman" w:cs="Times New Roman"/>
          <w:sz w:val="18"/>
          <w:szCs w:val="18"/>
          <w:u w:val="single"/>
          <w:lang w:eastAsia="zh-CN"/>
        </w:rPr>
        <w:t>Eur J Cancer</w:t>
      </w:r>
      <w:r w:rsidRPr="00DD4B3F">
        <w:rPr>
          <w:rFonts w:ascii="Times New Roman" w:eastAsiaTheme="minorEastAsia" w:hAnsi="Times New Roman" w:cs="Times New Roman"/>
          <w:sz w:val="18"/>
          <w:szCs w:val="18"/>
          <w:lang w:eastAsia="zh-CN"/>
        </w:rPr>
        <w:t xml:space="preserve"> 49:LBA 42, 2013 (suppl 3)</w:t>
      </w:r>
      <w:r w:rsidR="000A1A55" w:rsidRPr="000A1A55">
        <w:rPr>
          <w:rFonts w:ascii="Times New Roman" w:eastAsia="Times New Roman" w:hAnsi="Times New Roman" w:cs="Times New Roman"/>
          <w:sz w:val="18"/>
          <w:szCs w:val="18"/>
        </w:rPr>
        <w:t> </w:t>
      </w:r>
    </w:p>
    <w:p w:rsidR="00525C32" w:rsidRPr="00525C32" w:rsidRDefault="00525C32" w:rsidP="00525C32">
      <w:pPr>
        <w:pStyle w:val="ListParagraph"/>
        <w:numPr>
          <w:ilvl w:val="0"/>
          <w:numId w:val="5"/>
        </w:numPr>
        <w:spacing w:after="0" w:line="240" w:lineRule="auto"/>
        <w:ind w:left="360"/>
        <w:jc w:val="both"/>
        <w:rPr>
          <w:rFonts w:ascii="Times New Roman" w:eastAsia="Times New Roman" w:hAnsi="Times New Roman" w:cs="Times New Roman"/>
          <w:sz w:val="18"/>
          <w:szCs w:val="18"/>
          <w:lang w:val="es-MX"/>
        </w:rPr>
      </w:pPr>
      <w:r w:rsidRPr="00525C32">
        <w:rPr>
          <w:rFonts w:ascii="Times New Roman" w:eastAsia="Times New Roman" w:hAnsi="Times New Roman" w:cs="Times New Roman"/>
          <w:sz w:val="18"/>
          <w:szCs w:val="18"/>
          <w:lang w:val="es-MX"/>
        </w:rPr>
        <w:t>B</w:t>
      </w:r>
      <w:r w:rsidR="00C96D42">
        <w:rPr>
          <w:rFonts w:ascii="Times New Roman" w:eastAsia="Times New Roman" w:hAnsi="Times New Roman" w:cs="Times New Roman"/>
          <w:sz w:val="18"/>
          <w:szCs w:val="18"/>
          <w:lang w:val="es-MX"/>
        </w:rPr>
        <w:t>ai</w:t>
      </w:r>
      <w:r w:rsidRPr="00525C32">
        <w:rPr>
          <w:rFonts w:ascii="Times New Roman" w:eastAsia="Times New Roman" w:hAnsi="Times New Roman" w:cs="Times New Roman"/>
          <w:sz w:val="18"/>
          <w:szCs w:val="18"/>
          <w:lang w:val="es-MX"/>
        </w:rPr>
        <w:t>, J.R., del C</w:t>
      </w:r>
      <w:r w:rsidR="00C96D42">
        <w:rPr>
          <w:rFonts w:ascii="Times New Roman" w:eastAsia="Times New Roman" w:hAnsi="Times New Roman" w:cs="Times New Roman"/>
          <w:sz w:val="18"/>
          <w:szCs w:val="18"/>
          <w:lang w:val="es-MX"/>
        </w:rPr>
        <w:t>ampo</w:t>
      </w:r>
      <w:r w:rsidRPr="00525C32">
        <w:rPr>
          <w:rFonts w:ascii="Times New Roman" w:eastAsia="Times New Roman" w:hAnsi="Times New Roman" w:cs="Times New Roman"/>
          <w:sz w:val="18"/>
          <w:szCs w:val="18"/>
          <w:lang w:val="es-MX"/>
        </w:rPr>
        <w:t xml:space="preserve">, C., </w:t>
      </w:r>
      <w:r w:rsidR="00C96D42">
        <w:rPr>
          <w:rFonts w:ascii="Times New Roman" w:eastAsia="Times New Roman" w:hAnsi="Times New Roman" w:cs="Times New Roman"/>
          <w:sz w:val="18"/>
          <w:szCs w:val="18"/>
          <w:lang w:val="es-MX"/>
        </w:rPr>
        <w:t>and</w:t>
      </w:r>
      <w:r w:rsidRPr="00525C32">
        <w:rPr>
          <w:rFonts w:ascii="Times New Roman" w:eastAsia="Times New Roman" w:hAnsi="Times New Roman" w:cs="Times New Roman"/>
          <w:sz w:val="18"/>
          <w:szCs w:val="18"/>
          <w:lang w:val="es-MX"/>
        </w:rPr>
        <w:t xml:space="preserve"> K</w:t>
      </w:r>
      <w:r w:rsidR="00C96D42">
        <w:rPr>
          <w:rFonts w:ascii="Times New Roman" w:eastAsia="Times New Roman" w:hAnsi="Times New Roman" w:cs="Times New Roman"/>
          <w:sz w:val="18"/>
          <w:szCs w:val="18"/>
          <w:lang w:val="es-MX"/>
        </w:rPr>
        <w:t>eller</w:t>
      </w:r>
      <w:r w:rsidRPr="00525C32">
        <w:rPr>
          <w:rFonts w:ascii="Times New Roman" w:eastAsia="Times New Roman" w:hAnsi="Times New Roman" w:cs="Times New Roman"/>
          <w:sz w:val="18"/>
          <w:szCs w:val="18"/>
          <w:lang w:val="es-MX"/>
        </w:rPr>
        <w:t xml:space="preserve">, L. R. (2016).:Modelos de Cadenas de Markov en la Practica: Una Revision de Opciones de Software de Bajo Coste, </w:t>
      </w:r>
      <w:r w:rsidRPr="00525C32">
        <w:rPr>
          <w:rFonts w:ascii="Times New Roman" w:eastAsia="Times New Roman" w:hAnsi="Times New Roman" w:cs="Times New Roman"/>
          <w:b/>
          <w:bCs/>
          <w:sz w:val="18"/>
          <w:szCs w:val="18"/>
          <w:lang w:val="es-MX"/>
        </w:rPr>
        <w:t>working paper</w:t>
      </w:r>
      <w:r w:rsidRPr="00525C32">
        <w:rPr>
          <w:rFonts w:ascii="Times New Roman" w:eastAsia="Times New Roman" w:hAnsi="Times New Roman" w:cs="Times New Roman"/>
          <w:sz w:val="18"/>
          <w:szCs w:val="18"/>
          <w:lang w:val="es-MX"/>
        </w:rPr>
        <w:t xml:space="preserve">, 2016, </w:t>
      </w:r>
      <w:hyperlink r:id="rId15" w:history="1">
        <w:r w:rsidRPr="00525C32">
          <w:rPr>
            <w:rStyle w:val="Hyperlink"/>
            <w:rFonts w:ascii="Times New Roman" w:eastAsia="Times New Roman" w:hAnsi="Times New Roman" w:cs="Times New Roman"/>
            <w:sz w:val="18"/>
            <w:szCs w:val="18"/>
            <w:lang w:val="es-MX"/>
          </w:rPr>
          <w:t>http://faculty.sites.uci.edu/lrkeller/cuban-operations-research-conference-2016/</w:t>
        </w:r>
      </w:hyperlink>
      <w:r w:rsidRPr="00525C32">
        <w:rPr>
          <w:rFonts w:ascii="Times New Roman" w:eastAsia="Times New Roman" w:hAnsi="Times New Roman" w:cs="Times New Roman"/>
          <w:sz w:val="18"/>
          <w:szCs w:val="18"/>
          <w:lang w:val="es-MX"/>
        </w:rPr>
        <w:t xml:space="preserve"> </w:t>
      </w:r>
    </w:p>
    <w:p w:rsidR="00525C32" w:rsidRPr="00525C32" w:rsidRDefault="00525C32" w:rsidP="00525C32">
      <w:pPr>
        <w:pStyle w:val="ListParagraph"/>
        <w:spacing w:after="0" w:line="240" w:lineRule="auto"/>
        <w:ind w:left="360"/>
        <w:jc w:val="both"/>
        <w:rPr>
          <w:rFonts w:ascii="Times New Roman" w:eastAsia="Times New Roman" w:hAnsi="Times New Roman" w:cs="Times New Roman"/>
          <w:sz w:val="18"/>
          <w:szCs w:val="18"/>
          <w:lang w:val="es-MX"/>
        </w:rPr>
      </w:pPr>
      <w:bookmarkStart w:id="0" w:name="_GoBack"/>
      <w:bookmarkEnd w:id="0"/>
    </w:p>
    <w:sectPr w:rsidR="00525C32" w:rsidRPr="00525C32" w:rsidSect="003E0B3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F3" w:rsidRDefault="00B730F3" w:rsidP="002D6EF2">
      <w:pPr>
        <w:spacing w:after="0" w:line="240" w:lineRule="auto"/>
      </w:pPr>
      <w:r>
        <w:separator/>
      </w:r>
    </w:p>
  </w:endnote>
  <w:endnote w:type="continuationSeparator" w:id="0">
    <w:p w:rsidR="00B730F3" w:rsidRDefault="00B730F3" w:rsidP="002D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576689"/>
      <w:docPartObj>
        <w:docPartGallery w:val="Page Numbers (Bottom of Page)"/>
        <w:docPartUnique/>
      </w:docPartObj>
    </w:sdtPr>
    <w:sdtEndPr>
      <w:rPr>
        <w:noProof/>
      </w:rPr>
    </w:sdtEndPr>
    <w:sdtContent>
      <w:p w:rsidR="00990DD2" w:rsidRDefault="00990DD2">
        <w:pPr>
          <w:pStyle w:val="Footer"/>
          <w:jc w:val="right"/>
        </w:pPr>
        <w:r>
          <w:fldChar w:fldCharType="begin"/>
        </w:r>
        <w:r>
          <w:instrText xml:space="preserve"> PAGE   \* MERGEFORMAT </w:instrText>
        </w:r>
        <w:r>
          <w:fldChar w:fldCharType="separate"/>
        </w:r>
        <w:r w:rsidR="00B730F3">
          <w:rPr>
            <w:noProof/>
          </w:rPr>
          <w:t>1</w:t>
        </w:r>
        <w:r>
          <w:rPr>
            <w:noProof/>
          </w:rPr>
          <w:fldChar w:fldCharType="end"/>
        </w:r>
      </w:p>
    </w:sdtContent>
  </w:sdt>
  <w:p w:rsidR="00990DD2" w:rsidRDefault="00990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F3" w:rsidRDefault="00B730F3" w:rsidP="002D6EF2">
      <w:pPr>
        <w:spacing w:after="0" w:line="240" w:lineRule="auto"/>
      </w:pPr>
      <w:r>
        <w:separator/>
      </w:r>
    </w:p>
  </w:footnote>
  <w:footnote w:type="continuationSeparator" w:id="0">
    <w:p w:rsidR="00B730F3" w:rsidRDefault="00B730F3" w:rsidP="002D6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F8F"/>
    <w:multiLevelType w:val="hybridMultilevel"/>
    <w:tmpl w:val="B936D802"/>
    <w:lvl w:ilvl="0" w:tplc="7688D886">
      <w:start w:val="22"/>
      <w:numFmt w:val="decimal"/>
      <w:lvlText w:val="%1."/>
      <w:lvlJc w:val="left"/>
      <w:pPr>
        <w:tabs>
          <w:tab w:val="num" w:pos="1800"/>
        </w:tabs>
        <w:ind w:left="1800" w:hanging="360"/>
      </w:pPr>
      <w:rPr>
        <w:b w:val="0"/>
        <w:color w:val="auto"/>
      </w:rPr>
    </w:lvl>
    <w:lvl w:ilvl="1" w:tplc="66400BB8">
      <w:start w:val="10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5A7811"/>
    <w:multiLevelType w:val="hybridMultilevel"/>
    <w:tmpl w:val="A8B4878A"/>
    <w:lvl w:ilvl="0" w:tplc="6E5E9730">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F1E4F"/>
    <w:multiLevelType w:val="hybridMultilevel"/>
    <w:tmpl w:val="D018CB06"/>
    <w:lvl w:ilvl="0" w:tplc="EE5A8E90">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82CF3"/>
    <w:multiLevelType w:val="hybridMultilevel"/>
    <w:tmpl w:val="AC78F2EC"/>
    <w:lvl w:ilvl="0" w:tplc="807A48D0">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8F0C6F"/>
    <w:multiLevelType w:val="hybridMultilevel"/>
    <w:tmpl w:val="F916509E"/>
    <w:lvl w:ilvl="0" w:tplc="57F482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2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A9"/>
    <w:rsid w:val="00005B21"/>
    <w:rsid w:val="00013645"/>
    <w:rsid w:val="00032C2F"/>
    <w:rsid w:val="00083947"/>
    <w:rsid w:val="000A10F0"/>
    <w:rsid w:val="000A1A55"/>
    <w:rsid w:val="000C0819"/>
    <w:rsid w:val="000F14F8"/>
    <w:rsid w:val="001010B3"/>
    <w:rsid w:val="0010217D"/>
    <w:rsid w:val="00103FBD"/>
    <w:rsid w:val="00107C63"/>
    <w:rsid w:val="00174699"/>
    <w:rsid w:val="001A442E"/>
    <w:rsid w:val="001B2EEF"/>
    <w:rsid w:val="001C5C85"/>
    <w:rsid w:val="00260DC1"/>
    <w:rsid w:val="00266148"/>
    <w:rsid w:val="002763D6"/>
    <w:rsid w:val="002C0E8F"/>
    <w:rsid w:val="002C1593"/>
    <w:rsid w:val="002D6EF2"/>
    <w:rsid w:val="002D7433"/>
    <w:rsid w:val="0031583A"/>
    <w:rsid w:val="003213D1"/>
    <w:rsid w:val="00321775"/>
    <w:rsid w:val="00342DAC"/>
    <w:rsid w:val="00355379"/>
    <w:rsid w:val="003708FF"/>
    <w:rsid w:val="00376D7E"/>
    <w:rsid w:val="003B08DC"/>
    <w:rsid w:val="003D0011"/>
    <w:rsid w:val="003D5D07"/>
    <w:rsid w:val="003E0B34"/>
    <w:rsid w:val="00451E01"/>
    <w:rsid w:val="00455AE9"/>
    <w:rsid w:val="0045600D"/>
    <w:rsid w:val="00471946"/>
    <w:rsid w:val="004720EF"/>
    <w:rsid w:val="00490111"/>
    <w:rsid w:val="004A18CE"/>
    <w:rsid w:val="004B37D1"/>
    <w:rsid w:val="0050439F"/>
    <w:rsid w:val="00522781"/>
    <w:rsid w:val="00525C32"/>
    <w:rsid w:val="00525F5F"/>
    <w:rsid w:val="005351E3"/>
    <w:rsid w:val="00576AF8"/>
    <w:rsid w:val="00585A6F"/>
    <w:rsid w:val="005A47B3"/>
    <w:rsid w:val="005A5912"/>
    <w:rsid w:val="005B3CFC"/>
    <w:rsid w:val="005C0BC1"/>
    <w:rsid w:val="006026D2"/>
    <w:rsid w:val="006027BC"/>
    <w:rsid w:val="00614AF5"/>
    <w:rsid w:val="006152DF"/>
    <w:rsid w:val="00644C0E"/>
    <w:rsid w:val="00691C0F"/>
    <w:rsid w:val="006A41EE"/>
    <w:rsid w:val="007040E2"/>
    <w:rsid w:val="00756AF2"/>
    <w:rsid w:val="007854EC"/>
    <w:rsid w:val="007A036A"/>
    <w:rsid w:val="007A1E0F"/>
    <w:rsid w:val="007A42B9"/>
    <w:rsid w:val="007B52E7"/>
    <w:rsid w:val="0085635D"/>
    <w:rsid w:val="008A2AD0"/>
    <w:rsid w:val="008D2A56"/>
    <w:rsid w:val="008F0C77"/>
    <w:rsid w:val="008F2922"/>
    <w:rsid w:val="008F6F94"/>
    <w:rsid w:val="009046D3"/>
    <w:rsid w:val="0092338D"/>
    <w:rsid w:val="00924839"/>
    <w:rsid w:val="009612BF"/>
    <w:rsid w:val="00977C5E"/>
    <w:rsid w:val="00990DD2"/>
    <w:rsid w:val="00990E89"/>
    <w:rsid w:val="00991F7A"/>
    <w:rsid w:val="00995B26"/>
    <w:rsid w:val="009A3EF9"/>
    <w:rsid w:val="009B72D5"/>
    <w:rsid w:val="009F5B04"/>
    <w:rsid w:val="00A64435"/>
    <w:rsid w:val="00A65569"/>
    <w:rsid w:val="00A744F0"/>
    <w:rsid w:val="00A87A1C"/>
    <w:rsid w:val="00AB2053"/>
    <w:rsid w:val="00B13BF3"/>
    <w:rsid w:val="00B16891"/>
    <w:rsid w:val="00B26D93"/>
    <w:rsid w:val="00B449FC"/>
    <w:rsid w:val="00B52912"/>
    <w:rsid w:val="00B672CC"/>
    <w:rsid w:val="00B70F5C"/>
    <w:rsid w:val="00B730F3"/>
    <w:rsid w:val="00B75C4A"/>
    <w:rsid w:val="00B956E0"/>
    <w:rsid w:val="00BB7276"/>
    <w:rsid w:val="00BF2944"/>
    <w:rsid w:val="00C073D5"/>
    <w:rsid w:val="00C07D66"/>
    <w:rsid w:val="00C500F6"/>
    <w:rsid w:val="00C52715"/>
    <w:rsid w:val="00C63E61"/>
    <w:rsid w:val="00C77711"/>
    <w:rsid w:val="00C93143"/>
    <w:rsid w:val="00C96D42"/>
    <w:rsid w:val="00CB3C0E"/>
    <w:rsid w:val="00CC5A5F"/>
    <w:rsid w:val="00CE299E"/>
    <w:rsid w:val="00CF136F"/>
    <w:rsid w:val="00D374EB"/>
    <w:rsid w:val="00D517E2"/>
    <w:rsid w:val="00D538E9"/>
    <w:rsid w:val="00DC6585"/>
    <w:rsid w:val="00DD4B3F"/>
    <w:rsid w:val="00E00F12"/>
    <w:rsid w:val="00E10137"/>
    <w:rsid w:val="00E31EEB"/>
    <w:rsid w:val="00E55326"/>
    <w:rsid w:val="00E737DA"/>
    <w:rsid w:val="00E84293"/>
    <w:rsid w:val="00EA6B9D"/>
    <w:rsid w:val="00F12575"/>
    <w:rsid w:val="00F17E36"/>
    <w:rsid w:val="00F30BA9"/>
    <w:rsid w:val="00F33140"/>
    <w:rsid w:val="00F74890"/>
    <w:rsid w:val="00F818B9"/>
    <w:rsid w:val="00FC33B4"/>
    <w:rsid w:val="00FC749A"/>
    <w:rsid w:val="00FD0981"/>
    <w:rsid w:val="00FD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A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0BA9"/>
    <w:rPr>
      <w:color w:val="0000FF" w:themeColor="hyperlink"/>
      <w:u w:val="single"/>
    </w:rPr>
  </w:style>
  <w:style w:type="paragraph" w:styleId="BalloonText">
    <w:name w:val="Balloon Text"/>
    <w:basedOn w:val="Normal"/>
    <w:link w:val="BalloonTextChar"/>
    <w:uiPriority w:val="99"/>
    <w:semiHidden/>
    <w:unhideWhenUsed/>
    <w:rsid w:val="0010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B3"/>
    <w:rPr>
      <w:rFonts w:ascii="Tahoma" w:hAnsi="Tahoma" w:cs="Tahoma"/>
      <w:sz w:val="16"/>
      <w:szCs w:val="16"/>
    </w:rPr>
  </w:style>
  <w:style w:type="paragraph" w:styleId="ListParagraph">
    <w:name w:val="List Paragraph"/>
    <w:basedOn w:val="Normal"/>
    <w:uiPriority w:val="34"/>
    <w:qFormat/>
    <w:rsid w:val="00691C0F"/>
    <w:pPr>
      <w:ind w:left="720"/>
      <w:contextualSpacing/>
    </w:pPr>
  </w:style>
  <w:style w:type="character" w:styleId="FollowedHyperlink">
    <w:name w:val="FollowedHyperlink"/>
    <w:basedOn w:val="DefaultParagraphFont"/>
    <w:uiPriority w:val="99"/>
    <w:semiHidden/>
    <w:unhideWhenUsed/>
    <w:rsid w:val="00614AF5"/>
    <w:rPr>
      <w:color w:val="800080" w:themeColor="followedHyperlink"/>
      <w:u w:val="single"/>
    </w:rPr>
  </w:style>
  <w:style w:type="character" w:customStyle="1" w:styleId="articleheadertext">
    <w:name w:val="articleheadertext"/>
    <w:basedOn w:val="DefaultParagraphFont"/>
    <w:rsid w:val="00614AF5"/>
  </w:style>
  <w:style w:type="character" w:styleId="Emphasis">
    <w:name w:val="Emphasis"/>
    <w:basedOn w:val="DefaultParagraphFont"/>
    <w:uiPriority w:val="20"/>
    <w:qFormat/>
    <w:rsid w:val="00B956E0"/>
    <w:rPr>
      <w:i/>
      <w:iCs/>
    </w:rPr>
  </w:style>
  <w:style w:type="paragraph" w:styleId="Header">
    <w:name w:val="header"/>
    <w:basedOn w:val="Normal"/>
    <w:link w:val="HeaderChar"/>
    <w:uiPriority w:val="99"/>
    <w:unhideWhenUsed/>
    <w:rsid w:val="002D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EF2"/>
  </w:style>
  <w:style w:type="paragraph" w:styleId="Footer">
    <w:name w:val="footer"/>
    <w:basedOn w:val="Normal"/>
    <w:link w:val="FooterChar"/>
    <w:uiPriority w:val="99"/>
    <w:unhideWhenUsed/>
    <w:rsid w:val="002D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F2"/>
  </w:style>
  <w:style w:type="table" w:styleId="TableGrid">
    <w:name w:val="Table Grid"/>
    <w:basedOn w:val="TableNormal"/>
    <w:uiPriority w:val="59"/>
    <w:rsid w:val="001C5C8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C5C8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351E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A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0BA9"/>
    <w:rPr>
      <w:color w:val="0000FF" w:themeColor="hyperlink"/>
      <w:u w:val="single"/>
    </w:rPr>
  </w:style>
  <w:style w:type="paragraph" w:styleId="BalloonText">
    <w:name w:val="Balloon Text"/>
    <w:basedOn w:val="Normal"/>
    <w:link w:val="BalloonTextChar"/>
    <w:uiPriority w:val="99"/>
    <w:semiHidden/>
    <w:unhideWhenUsed/>
    <w:rsid w:val="0010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B3"/>
    <w:rPr>
      <w:rFonts w:ascii="Tahoma" w:hAnsi="Tahoma" w:cs="Tahoma"/>
      <w:sz w:val="16"/>
      <w:szCs w:val="16"/>
    </w:rPr>
  </w:style>
  <w:style w:type="paragraph" w:styleId="ListParagraph">
    <w:name w:val="List Paragraph"/>
    <w:basedOn w:val="Normal"/>
    <w:uiPriority w:val="34"/>
    <w:qFormat/>
    <w:rsid w:val="00691C0F"/>
    <w:pPr>
      <w:ind w:left="720"/>
      <w:contextualSpacing/>
    </w:pPr>
  </w:style>
  <w:style w:type="character" w:styleId="FollowedHyperlink">
    <w:name w:val="FollowedHyperlink"/>
    <w:basedOn w:val="DefaultParagraphFont"/>
    <w:uiPriority w:val="99"/>
    <w:semiHidden/>
    <w:unhideWhenUsed/>
    <w:rsid w:val="00614AF5"/>
    <w:rPr>
      <w:color w:val="800080" w:themeColor="followedHyperlink"/>
      <w:u w:val="single"/>
    </w:rPr>
  </w:style>
  <w:style w:type="character" w:customStyle="1" w:styleId="articleheadertext">
    <w:name w:val="articleheadertext"/>
    <w:basedOn w:val="DefaultParagraphFont"/>
    <w:rsid w:val="00614AF5"/>
  </w:style>
  <w:style w:type="character" w:styleId="Emphasis">
    <w:name w:val="Emphasis"/>
    <w:basedOn w:val="DefaultParagraphFont"/>
    <w:uiPriority w:val="20"/>
    <w:qFormat/>
    <w:rsid w:val="00B956E0"/>
    <w:rPr>
      <w:i/>
      <w:iCs/>
    </w:rPr>
  </w:style>
  <w:style w:type="paragraph" w:styleId="Header">
    <w:name w:val="header"/>
    <w:basedOn w:val="Normal"/>
    <w:link w:val="HeaderChar"/>
    <w:uiPriority w:val="99"/>
    <w:unhideWhenUsed/>
    <w:rsid w:val="002D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EF2"/>
  </w:style>
  <w:style w:type="paragraph" w:styleId="Footer">
    <w:name w:val="footer"/>
    <w:basedOn w:val="Normal"/>
    <w:link w:val="FooterChar"/>
    <w:uiPriority w:val="99"/>
    <w:unhideWhenUsed/>
    <w:rsid w:val="002D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F2"/>
  </w:style>
  <w:style w:type="table" w:styleId="TableGrid">
    <w:name w:val="Table Grid"/>
    <w:basedOn w:val="TableNormal"/>
    <w:uiPriority w:val="59"/>
    <w:rsid w:val="001C5C8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C5C8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351E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597">
      <w:bodyDiv w:val="1"/>
      <w:marLeft w:val="0"/>
      <w:marRight w:val="0"/>
      <w:marTop w:val="0"/>
      <w:marBottom w:val="0"/>
      <w:divBdr>
        <w:top w:val="none" w:sz="0" w:space="0" w:color="auto"/>
        <w:left w:val="none" w:sz="0" w:space="0" w:color="auto"/>
        <w:bottom w:val="none" w:sz="0" w:space="0" w:color="auto"/>
        <w:right w:val="none" w:sz="0" w:space="0" w:color="auto"/>
      </w:divBdr>
    </w:div>
    <w:div w:id="558132605">
      <w:bodyDiv w:val="1"/>
      <w:marLeft w:val="0"/>
      <w:marRight w:val="0"/>
      <w:marTop w:val="0"/>
      <w:marBottom w:val="0"/>
      <w:divBdr>
        <w:top w:val="none" w:sz="0" w:space="0" w:color="auto"/>
        <w:left w:val="none" w:sz="0" w:space="0" w:color="auto"/>
        <w:bottom w:val="none" w:sz="0" w:space="0" w:color="auto"/>
        <w:right w:val="none" w:sz="0" w:space="0" w:color="auto"/>
      </w:divBdr>
    </w:div>
    <w:div w:id="565262280">
      <w:bodyDiv w:val="1"/>
      <w:marLeft w:val="0"/>
      <w:marRight w:val="0"/>
      <w:marTop w:val="0"/>
      <w:marBottom w:val="0"/>
      <w:divBdr>
        <w:top w:val="none" w:sz="0" w:space="0" w:color="auto"/>
        <w:left w:val="none" w:sz="0" w:space="0" w:color="auto"/>
        <w:bottom w:val="none" w:sz="0" w:space="0" w:color="auto"/>
        <w:right w:val="none" w:sz="0" w:space="0" w:color="auto"/>
      </w:divBdr>
      <w:divsChild>
        <w:div w:id="762066482">
          <w:marLeft w:val="0"/>
          <w:marRight w:val="0"/>
          <w:marTop w:val="0"/>
          <w:marBottom w:val="0"/>
          <w:divBdr>
            <w:top w:val="none" w:sz="0" w:space="0" w:color="auto"/>
            <w:left w:val="none" w:sz="0" w:space="0" w:color="auto"/>
            <w:bottom w:val="none" w:sz="0" w:space="0" w:color="auto"/>
            <w:right w:val="none" w:sz="0" w:space="0" w:color="auto"/>
          </w:divBdr>
          <w:divsChild>
            <w:div w:id="424690153">
              <w:marLeft w:val="0"/>
              <w:marRight w:val="0"/>
              <w:marTop w:val="0"/>
              <w:marBottom w:val="0"/>
              <w:divBdr>
                <w:top w:val="none" w:sz="0" w:space="0" w:color="auto"/>
                <w:left w:val="none" w:sz="0" w:space="0" w:color="auto"/>
                <w:bottom w:val="none" w:sz="0" w:space="0" w:color="auto"/>
                <w:right w:val="none" w:sz="0" w:space="0" w:color="auto"/>
              </w:divBdr>
            </w:div>
            <w:div w:id="589119112">
              <w:marLeft w:val="0"/>
              <w:marRight w:val="0"/>
              <w:marTop w:val="0"/>
              <w:marBottom w:val="0"/>
              <w:divBdr>
                <w:top w:val="none" w:sz="0" w:space="0" w:color="auto"/>
                <w:left w:val="none" w:sz="0" w:space="0" w:color="auto"/>
                <w:bottom w:val="none" w:sz="0" w:space="0" w:color="auto"/>
                <w:right w:val="none" w:sz="0" w:space="0" w:color="auto"/>
              </w:divBdr>
            </w:div>
            <w:div w:id="223957828">
              <w:marLeft w:val="0"/>
              <w:marRight w:val="0"/>
              <w:marTop w:val="0"/>
              <w:marBottom w:val="0"/>
              <w:divBdr>
                <w:top w:val="none" w:sz="0" w:space="0" w:color="auto"/>
                <w:left w:val="none" w:sz="0" w:space="0" w:color="auto"/>
                <w:bottom w:val="none" w:sz="0" w:space="0" w:color="auto"/>
                <w:right w:val="none" w:sz="0" w:space="0" w:color="auto"/>
              </w:divBdr>
            </w:div>
            <w:div w:id="1731227824">
              <w:marLeft w:val="0"/>
              <w:marRight w:val="0"/>
              <w:marTop w:val="0"/>
              <w:marBottom w:val="0"/>
              <w:divBdr>
                <w:top w:val="none" w:sz="0" w:space="0" w:color="auto"/>
                <w:left w:val="none" w:sz="0" w:space="0" w:color="auto"/>
                <w:bottom w:val="none" w:sz="0" w:space="0" w:color="auto"/>
                <w:right w:val="none" w:sz="0" w:space="0" w:color="auto"/>
              </w:divBdr>
            </w:div>
            <w:div w:id="1018199630">
              <w:marLeft w:val="0"/>
              <w:marRight w:val="0"/>
              <w:marTop w:val="0"/>
              <w:marBottom w:val="0"/>
              <w:divBdr>
                <w:top w:val="none" w:sz="0" w:space="0" w:color="auto"/>
                <w:left w:val="none" w:sz="0" w:space="0" w:color="auto"/>
                <w:bottom w:val="none" w:sz="0" w:space="0" w:color="auto"/>
                <w:right w:val="none" w:sz="0" w:space="0" w:color="auto"/>
              </w:divBdr>
            </w:div>
            <w:div w:id="381560642">
              <w:marLeft w:val="0"/>
              <w:marRight w:val="0"/>
              <w:marTop w:val="0"/>
              <w:marBottom w:val="0"/>
              <w:divBdr>
                <w:top w:val="none" w:sz="0" w:space="0" w:color="auto"/>
                <w:left w:val="none" w:sz="0" w:space="0" w:color="auto"/>
                <w:bottom w:val="none" w:sz="0" w:space="0" w:color="auto"/>
                <w:right w:val="none" w:sz="0" w:space="0" w:color="auto"/>
              </w:divBdr>
            </w:div>
            <w:div w:id="669866217">
              <w:marLeft w:val="0"/>
              <w:marRight w:val="0"/>
              <w:marTop w:val="0"/>
              <w:marBottom w:val="0"/>
              <w:divBdr>
                <w:top w:val="none" w:sz="0" w:space="0" w:color="auto"/>
                <w:left w:val="none" w:sz="0" w:space="0" w:color="auto"/>
                <w:bottom w:val="none" w:sz="0" w:space="0" w:color="auto"/>
                <w:right w:val="none" w:sz="0" w:space="0" w:color="auto"/>
              </w:divBdr>
            </w:div>
            <w:div w:id="2050302156">
              <w:marLeft w:val="0"/>
              <w:marRight w:val="0"/>
              <w:marTop w:val="0"/>
              <w:marBottom w:val="0"/>
              <w:divBdr>
                <w:top w:val="none" w:sz="0" w:space="0" w:color="auto"/>
                <w:left w:val="none" w:sz="0" w:space="0" w:color="auto"/>
                <w:bottom w:val="none" w:sz="0" w:space="0" w:color="auto"/>
                <w:right w:val="none" w:sz="0" w:space="0" w:color="auto"/>
              </w:divBdr>
            </w:div>
            <w:div w:id="1333216395">
              <w:marLeft w:val="0"/>
              <w:marRight w:val="0"/>
              <w:marTop w:val="0"/>
              <w:marBottom w:val="0"/>
              <w:divBdr>
                <w:top w:val="none" w:sz="0" w:space="0" w:color="auto"/>
                <w:left w:val="none" w:sz="0" w:space="0" w:color="auto"/>
                <w:bottom w:val="none" w:sz="0" w:space="0" w:color="auto"/>
                <w:right w:val="none" w:sz="0" w:space="0" w:color="auto"/>
              </w:divBdr>
            </w:div>
            <w:div w:id="936869154">
              <w:marLeft w:val="0"/>
              <w:marRight w:val="0"/>
              <w:marTop w:val="0"/>
              <w:marBottom w:val="0"/>
              <w:divBdr>
                <w:top w:val="none" w:sz="0" w:space="0" w:color="auto"/>
                <w:left w:val="none" w:sz="0" w:space="0" w:color="auto"/>
                <w:bottom w:val="none" w:sz="0" w:space="0" w:color="auto"/>
                <w:right w:val="none" w:sz="0" w:space="0" w:color="auto"/>
              </w:divBdr>
            </w:div>
            <w:div w:id="768432147">
              <w:marLeft w:val="0"/>
              <w:marRight w:val="0"/>
              <w:marTop w:val="0"/>
              <w:marBottom w:val="0"/>
              <w:divBdr>
                <w:top w:val="none" w:sz="0" w:space="0" w:color="auto"/>
                <w:left w:val="none" w:sz="0" w:space="0" w:color="auto"/>
                <w:bottom w:val="none" w:sz="0" w:space="0" w:color="auto"/>
                <w:right w:val="none" w:sz="0" w:space="0" w:color="auto"/>
              </w:divBdr>
            </w:div>
            <w:div w:id="2017420463">
              <w:marLeft w:val="0"/>
              <w:marRight w:val="0"/>
              <w:marTop w:val="0"/>
              <w:marBottom w:val="0"/>
              <w:divBdr>
                <w:top w:val="none" w:sz="0" w:space="0" w:color="auto"/>
                <w:left w:val="none" w:sz="0" w:space="0" w:color="auto"/>
                <w:bottom w:val="none" w:sz="0" w:space="0" w:color="auto"/>
                <w:right w:val="none" w:sz="0" w:space="0" w:color="auto"/>
              </w:divBdr>
            </w:div>
            <w:div w:id="918101172">
              <w:marLeft w:val="0"/>
              <w:marRight w:val="0"/>
              <w:marTop w:val="0"/>
              <w:marBottom w:val="0"/>
              <w:divBdr>
                <w:top w:val="none" w:sz="0" w:space="0" w:color="auto"/>
                <w:left w:val="none" w:sz="0" w:space="0" w:color="auto"/>
                <w:bottom w:val="none" w:sz="0" w:space="0" w:color="auto"/>
                <w:right w:val="none" w:sz="0" w:space="0" w:color="auto"/>
              </w:divBdr>
            </w:div>
            <w:div w:id="814764220">
              <w:marLeft w:val="0"/>
              <w:marRight w:val="0"/>
              <w:marTop w:val="0"/>
              <w:marBottom w:val="0"/>
              <w:divBdr>
                <w:top w:val="none" w:sz="0" w:space="0" w:color="auto"/>
                <w:left w:val="none" w:sz="0" w:space="0" w:color="auto"/>
                <w:bottom w:val="none" w:sz="0" w:space="0" w:color="auto"/>
                <w:right w:val="none" w:sz="0" w:space="0" w:color="auto"/>
              </w:divBdr>
            </w:div>
            <w:div w:id="1666518033">
              <w:marLeft w:val="0"/>
              <w:marRight w:val="0"/>
              <w:marTop w:val="0"/>
              <w:marBottom w:val="0"/>
              <w:divBdr>
                <w:top w:val="none" w:sz="0" w:space="0" w:color="auto"/>
                <w:left w:val="none" w:sz="0" w:space="0" w:color="auto"/>
                <w:bottom w:val="none" w:sz="0" w:space="0" w:color="auto"/>
                <w:right w:val="none" w:sz="0" w:space="0" w:color="auto"/>
              </w:divBdr>
            </w:div>
            <w:div w:id="59713160">
              <w:marLeft w:val="0"/>
              <w:marRight w:val="0"/>
              <w:marTop w:val="0"/>
              <w:marBottom w:val="0"/>
              <w:divBdr>
                <w:top w:val="none" w:sz="0" w:space="0" w:color="auto"/>
                <w:left w:val="none" w:sz="0" w:space="0" w:color="auto"/>
                <w:bottom w:val="none" w:sz="0" w:space="0" w:color="auto"/>
                <w:right w:val="none" w:sz="0" w:space="0" w:color="auto"/>
              </w:divBdr>
            </w:div>
            <w:div w:id="1158689561">
              <w:marLeft w:val="0"/>
              <w:marRight w:val="0"/>
              <w:marTop w:val="0"/>
              <w:marBottom w:val="0"/>
              <w:divBdr>
                <w:top w:val="none" w:sz="0" w:space="0" w:color="auto"/>
                <w:left w:val="none" w:sz="0" w:space="0" w:color="auto"/>
                <w:bottom w:val="none" w:sz="0" w:space="0" w:color="auto"/>
                <w:right w:val="none" w:sz="0" w:space="0" w:color="auto"/>
              </w:divBdr>
            </w:div>
            <w:div w:id="1447577587">
              <w:marLeft w:val="0"/>
              <w:marRight w:val="0"/>
              <w:marTop w:val="0"/>
              <w:marBottom w:val="0"/>
              <w:divBdr>
                <w:top w:val="none" w:sz="0" w:space="0" w:color="auto"/>
                <w:left w:val="none" w:sz="0" w:space="0" w:color="auto"/>
                <w:bottom w:val="none" w:sz="0" w:space="0" w:color="auto"/>
                <w:right w:val="none" w:sz="0" w:space="0" w:color="auto"/>
              </w:divBdr>
            </w:div>
            <w:div w:id="1685325251">
              <w:marLeft w:val="0"/>
              <w:marRight w:val="0"/>
              <w:marTop w:val="0"/>
              <w:marBottom w:val="0"/>
              <w:divBdr>
                <w:top w:val="none" w:sz="0" w:space="0" w:color="auto"/>
                <w:left w:val="none" w:sz="0" w:space="0" w:color="auto"/>
                <w:bottom w:val="none" w:sz="0" w:space="0" w:color="auto"/>
                <w:right w:val="none" w:sz="0" w:space="0" w:color="auto"/>
              </w:divBdr>
            </w:div>
            <w:div w:id="245574029">
              <w:marLeft w:val="0"/>
              <w:marRight w:val="0"/>
              <w:marTop w:val="0"/>
              <w:marBottom w:val="0"/>
              <w:divBdr>
                <w:top w:val="none" w:sz="0" w:space="0" w:color="auto"/>
                <w:left w:val="none" w:sz="0" w:space="0" w:color="auto"/>
                <w:bottom w:val="none" w:sz="0" w:space="0" w:color="auto"/>
                <w:right w:val="none" w:sz="0" w:space="0" w:color="auto"/>
              </w:divBdr>
            </w:div>
            <w:div w:id="140268662">
              <w:marLeft w:val="0"/>
              <w:marRight w:val="0"/>
              <w:marTop w:val="0"/>
              <w:marBottom w:val="0"/>
              <w:divBdr>
                <w:top w:val="none" w:sz="0" w:space="0" w:color="auto"/>
                <w:left w:val="none" w:sz="0" w:space="0" w:color="auto"/>
                <w:bottom w:val="none" w:sz="0" w:space="0" w:color="auto"/>
                <w:right w:val="none" w:sz="0" w:space="0" w:color="auto"/>
              </w:divBdr>
            </w:div>
            <w:div w:id="1726489875">
              <w:marLeft w:val="0"/>
              <w:marRight w:val="0"/>
              <w:marTop w:val="0"/>
              <w:marBottom w:val="0"/>
              <w:divBdr>
                <w:top w:val="none" w:sz="0" w:space="0" w:color="auto"/>
                <w:left w:val="none" w:sz="0" w:space="0" w:color="auto"/>
                <w:bottom w:val="none" w:sz="0" w:space="0" w:color="auto"/>
                <w:right w:val="none" w:sz="0" w:space="0" w:color="auto"/>
              </w:divBdr>
            </w:div>
            <w:div w:id="1476727008">
              <w:marLeft w:val="0"/>
              <w:marRight w:val="0"/>
              <w:marTop w:val="0"/>
              <w:marBottom w:val="0"/>
              <w:divBdr>
                <w:top w:val="none" w:sz="0" w:space="0" w:color="auto"/>
                <w:left w:val="none" w:sz="0" w:space="0" w:color="auto"/>
                <w:bottom w:val="none" w:sz="0" w:space="0" w:color="auto"/>
                <w:right w:val="none" w:sz="0" w:space="0" w:color="auto"/>
              </w:divBdr>
            </w:div>
            <w:div w:id="276830">
              <w:marLeft w:val="0"/>
              <w:marRight w:val="0"/>
              <w:marTop w:val="0"/>
              <w:marBottom w:val="0"/>
              <w:divBdr>
                <w:top w:val="none" w:sz="0" w:space="0" w:color="auto"/>
                <w:left w:val="none" w:sz="0" w:space="0" w:color="auto"/>
                <w:bottom w:val="none" w:sz="0" w:space="0" w:color="auto"/>
                <w:right w:val="none" w:sz="0" w:space="0" w:color="auto"/>
              </w:divBdr>
            </w:div>
            <w:div w:id="1363440845">
              <w:marLeft w:val="0"/>
              <w:marRight w:val="0"/>
              <w:marTop w:val="0"/>
              <w:marBottom w:val="0"/>
              <w:divBdr>
                <w:top w:val="none" w:sz="0" w:space="0" w:color="auto"/>
                <w:left w:val="none" w:sz="0" w:space="0" w:color="auto"/>
                <w:bottom w:val="none" w:sz="0" w:space="0" w:color="auto"/>
                <w:right w:val="none" w:sz="0" w:space="0" w:color="auto"/>
              </w:divBdr>
            </w:div>
            <w:div w:id="227418190">
              <w:marLeft w:val="0"/>
              <w:marRight w:val="0"/>
              <w:marTop w:val="0"/>
              <w:marBottom w:val="0"/>
              <w:divBdr>
                <w:top w:val="none" w:sz="0" w:space="0" w:color="auto"/>
                <w:left w:val="none" w:sz="0" w:space="0" w:color="auto"/>
                <w:bottom w:val="none" w:sz="0" w:space="0" w:color="auto"/>
                <w:right w:val="none" w:sz="0" w:space="0" w:color="auto"/>
              </w:divBdr>
            </w:div>
            <w:div w:id="1746416450">
              <w:marLeft w:val="0"/>
              <w:marRight w:val="0"/>
              <w:marTop w:val="0"/>
              <w:marBottom w:val="0"/>
              <w:divBdr>
                <w:top w:val="none" w:sz="0" w:space="0" w:color="auto"/>
                <w:left w:val="none" w:sz="0" w:space="0" w:color="auto"/>
                <w:bottom w:val="none" w:sz="0" w:space="0" w:color="auto"/>
                <w:right w:val="none" w:sz="0" w:space="0" w:color="auto"/>
              </w:divBdr>
            </w:div>
            <w:div w:id="104621842">
              <w:marLeft w:val="0"/>
              <w:marRight w:val="0"/>
              <w:marTop w:val="0"/>
              <w:marBottom w:val="0"/>
              <w:divBdr>
                <w:top w:val="none" w:sz="0" w:space="0" w:color="auto"/>
                <w:left w:val="none" w:sz="0" w:space="0" w:color="auto"/>
                <w:bottom w:val="none" w:sz="0" w:space="0" w:color="auto"/>
                <w:right w:val="none" w:sz="0" w:space="0" w:color="auto"/>
              </w:divBdr>
            </w:div>
            <w:div w:id="1149131446">
              <w:marLeft w:val="0"/>
              <w:marRight w:val="0"/>
              <w:marTop w:val="0"/>
              <w:marBottom w:val="0"/>
              <w:divBdr>
                <w:top w:val="none" w:sz="0" w:space="0" w:color="auto"/>
                <w:left w:val="none" w:sz="0" w:space="0" w:color="auto"/>
                <w:bottom w:val="none" w:sz="0" w:space="0" w:color="auto"/>
                <w:right w:val="none" w:sz="0" w:space="0" w:color="auto"/>
              </w:divBdr>
            </w:div>
            <w:div w:id="318770307">
              <w:marLeft w:val="0"/>
              <w:marRight w:val="0"/>
              <w:marTop w:val="0"/>
              <w:marBottom w:val="0"/>
              <w:divBdr>
                <w:top w:val="none" w:sz="0" w:space="0" w:color="auto"/>
                <w:left w:val="none" w:sz="0" w:space="0" w:color="auto"/>
                <w:bottom w:val="none" w:sz="0" w:space="0" w:color="auto"/>
                <w:right w:val="none" w:sz="0" w:space="0" w:color="auto"/>
              </w:divBdr>
            </w:div>
            <w:div w:id="81995797">
              <w:marLeft w:val="0"/>
              <w:marRight w:val="0"/>
              <w:marTop w:val="0"/>
              <w:marBottom w:val="0"/>
              <w:divBdr>
                <w:top w:val="none" w:sz="0" w:space="0" w:color="auto"/>
                <w:left w:val="none" w:sz="0" w:space="0" w:color="auto"/>
                <w:bottom w:val="none" w:sz="0" w:space="0" w:color="auto"/>
                <w:right w:val="none" w:sz="0" w:space="0" w:color="auto"/>
              </w:divBdr>
            </w:div>
            <w:div w:id="1168405689">
              <w:marLeft w:val="0"/>
              <w:marRight w:val="0"/>
              <w:marTop w:val="0"/>
              <w:marBottom w:val="0"/>
              <w:divBdr>
                <w:top w:val="none" w:sz="0" w:space="0" w:color="auto"/>
                <w:left w:val="none" w:sz="0" w:space="0" w:color="auto"/>
                <w:bottom w:val="none" w:sz="0" w:space="0" w:color="auto"/>
                <w:right w:val="none" w:sz="0" w:space="0" w:color="auto"/>
              </w:divBdr>
            </w:div>
            <w:div w:id="303507846">
              <w:marLeft w:val="0"/>
              <w:marRight w:val="0"/>
              <w:marTop w:val="0"/>
              <w:marBottom w:val="0"/>
              <w:divBdr>
                <w:top w:val="none" w:sz="0" w:space="0" w:color="auto"/>
                <w:left w:val="none" w:sz="0" w:space="0" w:color="auto"/>
                <w:bottom w:val="none" w:sz="0" w:space="0" w:color="auto"/>
                <w:right w:val="none" w:sz="0" w:space="0" w:color="auto"/>
              </w:divBdr>
            </w:div>
            <w:div w:id="454446946">
              <w:marLeft w:val="0"/>
              <w:marRight w:val="0"/>
              <w:marTop w:val="0"/>
              <w:marBottom w:val="0"/>
              <w:divBdr>
                <w:top w:val="none" w:sz="0" w:space="0" w:color="auto"/>
                <w:left w:val="none" w:sz="0" w:space="0" w:color="auto"/>
                <w:bottom w:val="none" w:sz="0" w:space="0" w:color="auto"/>
                <w:right w:val="none" w:sz="0" w:space="0" w:color="auto"/>
              </w:divBdr>
            </w:div>
            <w:div w:id="220215306">
              <w:marLeft w:val="0"/>
              <w:marRight w:val="0"/>
              <w:marTop w:val="0"/>
              <w:marBottom w:val="0"/>
              <w:divBdr>
                <w:top w:val="none" w:sz="0" w:space="0" w:color="auto"/>
                <w:left w:val="none" w:sz="0" w:space="0" w:color="auto"/>
                <w:bottom w:val="none" w:sz="0" w:space="0" w:color="auto"/>
                <w:right w:val="none" w:sz="0" w:space="0" w:color="auto"/>
              </w:divBdr>
            </w:div>
            <w:div w:id="1746605918">
              <w:marLeft w:val="0"/>
              <w:marRight w:val="0"/>
              <w:marTop w:val="0"/>
              <w:marBottom w:val="0"/>
              <w:divBdr>
                <w:top w:val="none" w:sz="0" w:space="0" w:color="auto"/>
                <w:left w:val="none" w:sz="0" w:space="0" w:color="auto"/>
                <w:bottom w:val="none" w:sz="0" w:space="0" w:color="auto"/>
                <w:right w:val="none" w:sz="0" w:space="0" w:color="auto"/>
              </w:divBdr>
            </w:div>
            <w:div w:id="1972830792">
              <w:marLeft w:val="0"/>
              <w:marRight w:val="0"/>
              <w:marTop w:val="0"/>
              <w:marBottom w:val="0"/>
              <w:divBdr>
                <w:top w:val="none" w:sz="0" w:space="0" w:color="auto"/>
                <w:left w:val="none" w:sz="0" w:space="0" w:color="auto"/>
                <w:bottom w:val="none" w:sz="0" w:space="0" w:color="auto"/>
                <w:right w:val="none" w:sz="0" w:space="0" w:color="auto"/>
              </w:divBdr>
            </w:div>
            <w:div w:id="476918320">
              <w:marLeft w:val="0"/>
              <w:marRight w:val="0"/>
              <w:marTop w:val="0"/>
              <w:marBottom w:val="0"/>
              <w:divBdr>
                <w:top w:val="none" w:sz="0" w:space="0" w:color="auto"/>
                <w:left w:val="none" w:sz="0" w:space="0" w:color="auto"/>
                <w:bottom w:val="none" w:sz="0" w:space="0" w:color="auto"/>
                <w:right w:val="none" w:sz="0" w:space="0" w:color="auto"/>
              </w:divBdr>
            </w:div>
            <w:div w:id="1699887805">
              <w:marLeft w:val="0"/>
              <w:marRight w:val="0"/>
              <w:marTop w:val="0"/>
              <w:marBottom w:val="0"/>
              <w:divBdr>
                <w:top w:val="none" w:sz="0" w:space="0" w:color="auto"/>
                <w:left w:val="none" w:sz="0" w:space="0" w:color="auto"/>
                <w:bottom w:val="none" w:sz="0" w:space="0" w:color="auto"/>
                <w:right w:val="none" w:sz="0" w:space="0" w:color="auto"/>
              </w:divBdr>
            </w:div>
            <w:div w:id="44835911">
              <w:marLeft w:val="0"/>
              <w:marRight w:val="0"/>
              <w:marTop w:val="0"/>
              <w:marBottom w:val="0"/>
              <w:divBdr>
                <w:top w:val="none" w:sz="0" w:space="0" w:color="auto"/>
                <w:left w:val="none" w:sz="0" w:space="0" w:color="auto"/>
                <w:bottom w:val="none" w:sz="0" w:space="0" w:color="auto"/>
                <w:right w:val="none" w:sz="0" w:space="0" w:color="auto"/>
              </w:divBdr>
            </w:div>
            <w:div w:id="1415663429">
              <w:marLeft w:val="0"/>
              <w:marRight w:val="0"/>
              <w:marTop w:val="0"/>
              <w:marBottom w:val="0"/>
              <w:divBdr>
                <w:top w:val="none" w:sz="0" w:space="0" w:color="auto"/>
                <w:left w:val="none" w:sz="0" w:space="0" w:color="auto"/>
                <w:bottom w:val="none" w:sz="0" w:space="0" w:color="auto"/>
                <w:right w:val="none" w:sz="0" w:space="0" w:color="auto"/>
              </w:divBdr>
            </w:div>
            <w:div w:id="949506910">
              <w:marLeft w:val="0"/>
              <w:marRight w:val="0"/>
              <w:marTop w:val="0"/>
              <w:marBottom w:val="0"/>
              <w:divBdr>
                <w:top w:val="none" w:sz="0" w:space="0" w:color="auto"/>
                <w:left w:val="none" w:sz="0" w:space="0" w:color="auto"/>
                <w:bottom w:val="none" w:sz="0" w:space="0" w:color="auto"/>
                <w:right w:val="none" w:sz="0" w:space="0" w:color="auto"/>
              </w:divBdr>
            </w:div>
            <w:div w:id="1750619602">
              <w:marLeft w:val="0"/>
              <w:marRight w:val="0"/>
              <w:marTop w:val="0"/>
              <w:marBottom w:val="0"/>
              <w:divBdr>
                <w:top w:val="none" w:sz="0" w:space="0" w:color="auto"/>
                <w:left w:val="none" w:sz="0" w:space="0" w:color="auto"/>
                <w:bottom w:val="none" w:sz="0" w:space="0" w:color="auto"/>
                <w:right w:val="none" w:sz="0" w:space="0" w:color="auto"/>
              </w:divBdr>
            </w:div>
            <w:div w:id="170413865">
              <w:marLeft w:val="0"/>
              <w:marRight w:val="0"/>
              <w:marTop w:val="0"/>
              <w:marBottom w:val="0"/>
              <w:divBdr>
                <w:top w:val="none" w:sz="0" w:space="0" w:color="auto"/>
                <w:left w:val="none" w:sz="0" w:space="0" w:color="auto"/>
                <w:bottom w:val="none" w:sz="0" w:space="0" w:color="auto"/>
                <w:right w:val="none" w:sz="0" w:space="0" w:color="auto"/>
              </w:divBdr>
            </w:div>
            <w:div w:id="2120293268">
              <w:marLeft w:val="0"/>
              <w:marRight w:val="0"/>
              <w:marTop w:val="0"/>
              <w:marBottom w:val="0"/>
              <w:divBdr>
                <w:top w:val="none" w:sz="0" w:space="0" w:color="auto"/>
                <w:left w:val="none" w:sz="0" w:space="0" w:color="auto"/>
                <w:bottom w:val="none" w:sz="0" w:space="0" w:color="auto"/>
                <w:right w:val="none" w:sz="0" w:space="0" w:color="auto"/>
              </w:divBdr>
            </w:div>
            <w:div w:id="17974173">
              <w:marLeft w:val="0"/>
              <w:marRight w:val="0"/>
              <w:marTop w:val="0"/>
              <w:marBottom w:val="0"/>
              <w:divBdr>
                <w:top w:val="none" w:sz="0" w:space="0" w:color="auto"/>
                <w:left w:val="none" w:sz="0" w:space="0" w:color="auto"/>
                <w:bottom w:val="none" w:sz="0" w:space="0" w:color="auto"/>
                <w:right w:val="none" w:sz="0" w:space="0" w:color="auto"/>
              </w:divBdr>
            </w:div>
            <w:div w:id="1843356369">
              <w:marLeft w:val="0"/>
              <w:marRight w:val="0"/>
              <w:marTop w:val="0"/>
              <w:marBottom w:val="0"/>
              <w:divBdr>
                <w:top w:val="none" w:sz="0" w:space="0" w:color="auto"/>
                <w:left w:val="none" w:sz="0" w:space="0" w:color="auto"/>
                <w:bottom w:val="none" w:sz="0" w:space="0" w:color="auto"/>
                <w:right w:val="none" w:sz="0" w:space="0" w:color="auto"/>
              </w:divBdr>
            </w:div>
            <w:div w:id="401411038">
              <w:marLeft w:val="0"/>
              <w:marRight w:val="0"/>
              <w:marTop w:val="0"/>
              <w:marBottom w:val="0"/>
              <w:divBdr>
                <w:top w:val="none" w:sz="0" w:space="0" w:color="auto"/>
                <w:left w:val="none" w:sz="0" w:space="0" w:color="auto"/>
                <w:bottom w:val="none" w:sz="0" w:space="0" w:color="auto"/>
                <w:right w:val="none" w:sz="0" w:space="0" w:color="auto"/>
              </w:divBdr>
            </w:div>
            <w:div w:id="10881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0312">
      <w:bodyDiv w:val="1"/>
      <w:marLeft w:val="0"/>
      <w:marRight w:val="0"/>
      <w:marTop w:val="0"/>
      <w:marBottom w:val="0"/>
      <w:divBdr>
        <w:top w:val="none" w:sz="0" w:space="0" w:color="auto"/>
        <w:left w:val="none" w:sz="0" w:space="0" w:color="auto"/>
        <w:bottom w:val="none" w:sz="0" w:space="0" w:color="auto"/>
        <w:right w:val="none" w:sz="0" w:space="0" w:color="auto"/>
      </w:divBdr>
    </w:div>
    <w:div w:id="740521358">
      <w:bodyDiv w:val="1"/>
      <w:marLeft w:val="0"/>
      <w:marRight w:val="0"/>
      <w:marTop w:val="0"/>
      <w:marBottom w:val="0"/>
      <w:divBdr>
        <w:top w:val="none" w:sz="0" w:space="0" w:color="auto"/>
        <w:left w:val="none" w:sz="0" w:space="0" w:color="auto"/>
        <w:bottom w:val="none" w:sz="0" w:space="0" w:color="auto"/>
        <w:right w:val="none" w:sz="0" w:space="0" w:color="auto"/>
      </w:divBdr>
    </w:div>
    <w:div w:id="1355575531">
      <w:bodyDiv w:val="1"/>
      <w:marLeft w:val="0"/>
      <w:marRight w:val="0"/>
      <w:marTop w:val="0"/>
      <w:marBottom w:val="0"/>
      <w:divBdr>
        <w:top w:val="none" w:sz="0" w:space="0" w:color="auto"/>
        <w:left w:val="none" w:sz="0" w:space="0" w:color="auto"/>
        <w:bottom w:val="none" w:sz="0" w:space="0" w:color="auto"/>
        <w:right w:val="none" w:sz="0" w:space="0" w:color="auto"/>
      </w:divBdr>
    </w:div>
    <w:div w:id="1492720034">
      <w:bodyDiv w:val="1"/>
      <w:marLeft w:val="0"/>
      <w:marRight w:val="0"/>
      <w:marTop w:val="0"/>
      <w:marBottom w:val="0"/>
      <w:divBdr>
        <w:top w:val="none" w:sz="0" w:space="0" w:color="auto"/>
        <w:left w:val="none" w:sz="0" w:space="0" w:color="auto"/>
        <w:bottom w:val="none" w:sz="0" w:space="0" w:color="auto"/>
        <w:right w:val="none" w:sz="0" w:space="0" w:color="auto"/>
      </w:divBdr>
    </w:div>
    <w:div w:id="1915125395">
      <w:bodyDiv w:val="1"/>
      <w:marLeft w:val="0"/>
      <w:marRight w:val="0"/>
      <w:marTop w:val="0"/>
      <w:marBottom w:val="0"/>
      <w:divBdr>
        <w:top w:val="none" w:sz="0" w:space="0" w:color="auto"/>
        <w:left w:val="none" w:sz="0" w:space="0" w:color="auto"/>
        <w:bottom w:val="none" w:sz="0" w:space="0" w:color="auto"/>
        <w:right w:val="none" w:sz="0" w:space="0" w:color="auto"/>
      </w:divBdr>
    </w:div>
    <w:div w:id="19624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cedirect.com/science/article/pii/S009082581500676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faculty.sites.uci.edu/lrkeller/cuban-operations-research-conference-2016/"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fda.gov/NewsEvents/Newsroom/PressAnnouncements/ucm410121.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Primary\Dropbox\markov\v1030\V1%208-28%20Cancer%20paper%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Costs vs. Overall Survival Months of </a:t>
            </a:r>
          </a:p>
          <a:p>
            <a:pPr>
              <a:defRPr/>
            </a:pPr>
            <a:r>
              <a:rPr lang="en-US" sz="1200"/>
              <a:t>Two Treatments </a:t>
            </a:r>
          </a:p>
        </c:rich>
      </c:tx>
      <c:overlay val="0"/>
    </c:title>
    <c:autoTitleDeleted val="0"/>
    <c:plotArea>
      <c:layout/>
      <c:scatterChart>
        <c:scatterStyle val="lineMarker"/>
        <c:varyColors val="0"/>
        <c:ser>
          <c:idx val="0"/>
          <c:order val="0"/>
          <c:tx>
            <c:strRef>
              <c:f>'[V1 8-28 Cancer paper graphs.xlsx]Fig. 3 Cost Effectiveness '!$A$3</c:f>
              <c:strCache>
                <c:ptCount val="1"/>
                <c:pt idx="0">
                  <c:v>Cost</c:v>
                </c:pt>
              </c:strCache>
            </c:strRef>
          </c:tx>
          <c:spPr>
            <a:ln cap="sq" cmpd="sng">
              <a:solidFill>
                <a:schemeClr val="tx1"/>
              </a:solidFill>
              <a:prstDash val="solid"/>
            </a:ln>
          </c:spPr>
          <c:marker>
            <c:symbol val="circle"/>
            <c:size val="7"/>
            <c:spPr>
              <a:solidFill>
                <a:schemeClr val="tx1"/>
              </a:solidFill>
            </c:spPr>
          </c:marker>
          <c:dLbls>
            <c:dLbl>
              <c:idx val="0"/>
              <c:layout>
                <c:manualLayout>
                  <c:x val="-0.13759657098957107"/>
                  <c:y val="-1.3745520182070264E-2"/>
                </c:manualLayout>
              </c:layout>
              <c:numFmt formatCode="&quot;$&quot;#,##0" sourceLinked="0"/>
              <c:spPr/>
              <c:txPr>
                <a:bodyPr/>
                <a:lstStyle/>
                <a:p>
                  <a:pPr>
                    <a:defRPr sz="1050"/>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653739544239199E-2"/>
                  <c:y val="-5.1852332891378299E-2"/>
                </c:manualLayout>
              </c:layout>
              <c:numFmt formatCode="&quot;$&quot;#,##0" sourceLinked="0"/>
              <c:spPr/>
              <c:txPr>
                <a:bodyPr/>
                <a:lstStyle/>
                <a:p>
                  <a:pPr>
                    <a:defRPr sz="1050"/>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quot;$&quot;#,##0" sourceLinked="0"/>
            <c:spPr>
              <a:noFill/>
              <a:ln>
                <a:noFill/>
              </a:ln>
              <a:effectLst/>
            </c:spPr>
            <c:txPr>
              <a:bodyPr/>
              <a:lstStyle/>
              <a:p>
                <a:pPr>
                  <a:defRPr sz="105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'[V1 8-28 Cancer paper graphs.xlsx]Fig. 3 Cost Effectiveness '!$B$2:$C$2</c:f>
              <c:numCache>
                <c:formatCode>General</c:formatCode>
                <c:ptCount val="2"/>
                <c:pt idx="0">
                  <c:v>14.7</c:v>
                </c:pt>
                <c:pt idx="1">
                  <c:v>17.7</c:v>
                </c:pt>
              </c:numCache>
            </c:numRef>
          </c:xVal>
          <c:yVal>
            <c:numRef>
              <c:f>'[V1 8-28 Cancer paper graphs.xlsx]Fig. 3 Cost Effectiveness '!$B$3:$C$3</c:f>
              <c:numCache>
                <c:formatCode>"$"#,##0</c:formatCode>
                <c:ptCount val="2"/>
                <c:pt idx="0">
                  <c:v>5938</c:v>
                </c:pt>
                <c:pt idx="1">
                  <c:v>79097</c:v>
                </c:pt>
              </c:numCache>
            </c:numRef>
          </c:yVal>
          <c:smooth val="0"/>
        </c:ser>
        <c:ser>
          <c:idx val="1"/>
          <c:order val="1"/>
          <c:tx>
            <c:strRef>
              <c:f>'[V1 8-28 Cancer paper graphs.xlsx]Fig. 3 Cost Effectiveness '!$A$4</c:f>
              <c:strCache>
                <c:ptCount val="1"/>
              </c:strCache>
            </c:strRef>
          </c:tx>
          <c:spPr>
            <a:ln>
              <a:solidFill>
                <a:schemeClr val="tx2">
                  <a:lumMod val="75000"/>
                </a:schemeClr>
              </a:solidFill>
              <a:prstDash val="sysDot"/>
            </a:ln>
          </c:spPr>
          <c:marker>
            <c:symbol val="triangle"/>
            <c:size val="5"/>
            <c:spPr>
              <a:solidFill>
                <a:schemeClr val="tx2">
                  <a:lumMod val="75000"/>
                </a:schemeClr>
              </a:solidFill>
            </c:spPr>
          </c:marker>
          <c:dLbls>
            <c:dLbl>
              <c:idx val="1"/>
              <c:layout>
                <c:manualLayout>
                  <c:x val="-5.1440329218106996E-3"/>
                  <c:y val="0"/>
                </c:manualLayout>
              </c:layout>
              <c:dLblPos val="r"/>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15:showLeaderLines val="0"/>
              </c:ext>
            </c:extLst>
          </c:dLbls>
          <c:xVal>
            <c:numRef>
              <c:f>'[V1 8-28 Cancer paper graphs.xlsx]Fig. 3 Cost Effectiveness '!$B$2:$C$2</c:f>
              <c:numCache>
                <c:formatCode>General</c:formatCode>
                <c:ptCount val="2"/>
                <c:pt idx="0">
                  <c:v>14.7</c:v>
                </c:pt>
                <c:pt idx="1">
                  <c:v>17.7</c:v>
                </c:pt>
              </c:numCache>
            </c:numRef>
          </c:xVal>
          <c:yVal>
            <c:numRef>
              <c:f>'[V1 8-28 Cancer paper graphs.xlsx]Fig. 3 Cost Effectiveness '!$B$4:$C$4</c:f>
              <c:numCache>
                <c:formatCode>General</c:formatCode>
                <c:ptCount val="2"/>
              </c:numCache>
            </c:numRef>
          </c:yVal>
          <c:smooth val="0"/>
        </c:ser>
        <c:ser>
          <c:idx val="2"/>
          <c:order val="2"/>
          <c:tx>
            <c:strRef>
              <c:f>'[V1 8-28 Cancer paper graphs.xlsx]Fig. 3 Cost Effectiveness '!$A$5</c:f>
              <c:strCache>
                <c:ptCount val="1"/>
              </c:strCache>
            </c:strRef>
          </c:tx>
          <c:marker>
            <c:symbol val="square"/>
            <c:size val="5"/>
            <c:spPr>
              <a:solidFill>
                <a:srgbClr val="92D050"/>
              </a:solidFill>
            </c:spPr>
          </c:marker>
          <c:dLbls>
            <c:dLbl>
              <c:idx val="1"/>
              <c:layout>
                <c:manualLayout>
                  <c:x val="-7.8513760341360796E-3"/>
                  <c:y val="0"/>
                </c:manualLayout>
              </c:layout>
              <c:dLblPos val="r"/>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15:showLeaderLines val="0"/>
              </c:ext>
            </c:extLst>
          </c:dLbls>
          <c:xVal>
            <c:numRef>
              <c:f>'[V1 8-28 Cancer paper graphs.xlsx]Fig. 3 Cost Effectiveness '!$B$2:$C$2</c:f>
              <c:numCache>
                <c:formatCode>General</c:formatCode>
                <c:ptCount val="2"/>
                <c:pt idx="0">
                  <c:v>14.7</c:v>
                </c:pt>
                <c:pt idx="1">
                  <c:v>17.7</c:v>
                </c:pt>
              </c:numCache>
            </c:numRef>
          </c:xVal>
          <c:yVal>
            <c:numRef>
              <c:f>'[V1 8-28 Cancer paper graphs.xlsx]Fig. 3 Cost Effectiveness '!$B$5:$C$5</c:f>
              <c:numCache>
                <c:formatCode>General</c:formatCode>
                <c:ptCount val="2"/>
              </c:numCache>
            </c:numRef>
          </c:yVal>
          <c:smooth val="0"/>
        </c:ser>
        <c:dLbls>
          <c:showLegendKey val="0"/>
          <c:showVal val="0"/>
          <c:showCatName val="0"/>
          <c:showSerName val="0"/>
          <c:showPercent val="0"/>
          <c:showBubbleSize val="0"/>
        </c:dLbls>
        <c:axId val="136191360"/>
        <c:axId val="172164992"/>
      </c:scatterChart>
      <c:valAx>
        <c:axId val="136191360"/>
        <c:scaling>
          <c:orientation val="minMax"/>
          <c:max val="18"/>
          <c:min val="10"/>
        </c:scaling>
        <c:delete val="0"/>
        <c:axPos val="b"/>
        <c:title>
          <c:tx>
            <c:rich>
              <a:bodyPr/>
              <a:lstStyle/>
              <a:p>
                <a:pPr>
                  <a:defRPr/>
                </a:pPr>
                <a:r>
                  <a:rPr lang="en-US"/>
                  <a:t>Overall</a:t>
                </a:r>
                <a:r>
                  <a:rPr lang="en-US" baseline="0"/>
                  <a:t> Survival in Months</a:t>
                </a:r>
                <a:r>
                  <a:rPr lang="en-US"/>
                  <a:t> </a:t>
                </a:r>
              </a:p>
              <a:p>
                <a:pPr>
                  <a:defRPr/>
                </a:pPr>
                <a:r>
                  <a:rPr lang="en-US" sz="800"/>
                  <a:t>14.7 months with Chemo Alone vs.</a:t>
                </a:r>
                <a:r>
                  <a:rPr lang="en-US" sz="800" baseline="0"/>
                  <a:t> </a:t>
                </a:r>
              </a:p>
              <a:p>
                <a:pPr>
                  <a:defRPr/>
                </a:pPr>
                <a:r>
                  <a:rPr lang="en-US" sz="800" baseline="0"/>
                  <a:t>17.7 months with Chemo + Bevacizumab</a:t>
                </a:r>
                <a:r>
                  <a:rPr lang="en-US" sz="800"/>
                  <a:t> </a:t>
                </a:r>
              </a:p>
            </c:rich>
          </c:tx>
          <c:overlay val="0"/>
        </c:title>
        <c:numFmt formatCode="General" sourceLinked="1"/>
        <c:majorTickMark val="out"/>
        <c:minorTickMark val="in"/>
        <c:tickLblPos val="nextTo"/>
        <c:crossAx val="172164992"/>
        <c:crosses val="autoZero"/>
        <c:crossBetween val="midCat"/>
        <c:majorUnit val="1"/>
        <c:minorUnit val="0.5"/>
      </c:valAx>
      <c:valAx>
        <c:axId val="172164992"/>
        <c:scaling>
          <c:orientation val="minMax"/>
          <c:max val="80000"/>
          <c:min val="0"/>
        </c:scaling>
        <c:delete val="0"/>
        <c:axPos val="l"/>
        <c:majorGridlines>
          <c:spPr>
            <a:ln>
              <a:noFill/>
            </a:ln>
          </c:spPr>
        </c:majorGridlines>
        <c:title>
          <c:tx>
            <c:rich>
              <a:bodyPr/>
              <a:lstStyle/>
              <a:p>
                <a:pPr>
                  <a:defRPr/>
                </a:pPr>
                <a:r>
                  <a:rPr lang="en-US"/>
                  <a:t>Treatment Cost</a:t>
                </a:r>
              </a:p>
            </c:rich>
          </c:tx>
          <c:overlay val="0"/>
        </c:title>
        <c:numFmt formatCode="&quot;$&quot;#,##0" sourceLinked="0"/>
        <c:majorTickMark val="out"/>
        <c:minorTickMark val="in"/>
        <c:tickLblPos val="nextTo"/>
        <c:crossAx val="136191360"/>
        <c:crosses val="autoZero"/>
        <c:crossBetween val="midCat"/>
        <c:majorUnit val="20000"/>
        <c:minorUnit val="5000"/>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Costs vs. Quality Adjusted Cervical Cancer Life Months of </a:t>
            </a:r>
          </a:p>
          <a:p>
            <a:pPr>
              <a:defRPr/>
            </a:pPr>
            <a:r>
              <a:rPr lang="en-US" sz="1100"/>
              <a:t>Two Treatments for 3 Bevacizumab Cost Levels </a:t>
            </a:r>
          </a:p>
          <a:p>
            <a:pPr>
              <a:defRPr/>
            </a:pPr>
            <a:r>
              <a:rPr lang="en-US" sz="900"/>
              <a:t>(100%, 50%, or 25% of Current Cost)</a:t>
            </a:r>
          </a:p>
        </c:rich>
      </c:tx>
      <c:layout>
        <c:manualLayout>
          <c:xMode val="edge"/>
          <c:yMode val="edge"/>
          <c:x val="0.11781549949685391"/>
          <c:y val="3.1297724029607121E-2"/>
        </c:manualLayout>
      </c:layout>
      <c:overlay val="0"/>
    </c:title>
    <c:autoTitleDeleted val="0"/>
    <c:plotArea>
      <c:layout/>
      <c:scatterChart>
        <c:scatterStyle val="lineMarker"/>
        <c:varyColors val="0"/>
        <c:ser>
          <c:idx val="0"/>
          <c:order val="0"/>
          <c:tx>
            <c:strRef>
              <c:f>'[V1 8-28 Cancer paper graphs.xlsx]Fig. 4 3 Beva cost levels'!$A$3</c:f>
              <c:strCache>
                <c:ptCount val="1"/>
                <c:pt idx="0">
                  <c:v>Current Cost</c:v>
                </c:pt>
              </c:strCache>
            </c:strRef>
          </c:tx>
          <c:spPr>
            <a:ln cap="sq">
              <a:solidFill>
                <a:srgbClr val="FF0000"/>
              </a:solidFill>
              <a:prstDash val="sysDash"/>
            </a:ln>
          </c:spPr>
          <c:marker>
            <c:spPr>
              <a:solidFill>
                <a:srgbClr val="FF0000"/>
              </a:solidFill>
            </c:spPr>
          </c:marker>
          <c:dLbls>
            <c:dLbl>
              <c:idx val="0"/>
              <c:layout>
                <c:manualLayout>
                  <c:x val="-0.11061676502695235"/>
                  <c:y val="-4.2611934691779568E-2"/>
                </c:manualLayout>
              </c:layout>
              <c:numFmt formatCode="&quot;$&quot;#,##0" sourceLinked="0"/>
              <c:spPr/>
              <c:txPr>
                <a:bodyPr/>
                <a:lstStyle/>
                <a:p>
                  <a:pPr>
                    <a:defRPr sz="1050"/>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7160493827160498E-3"/>
                  <c:y val="0"/>
                </c:manualLayout>
              </c:layout>
              <c:numFmt formatCode="&quot;$&quot;#,##0" sourceLinked="0"/>
              <c:spPr/>
              <c:txPr>
                <a:bodyPr/>
                <a:lstStyle/>
                <a:p>
                  <a:pPr>
                    <a:defRPr sz="1050"/>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quot;$&quot;#,##0" sourceLinked="0"/>
            <c:spPr>
              <a:noFill/>
              <a:ln>
                <a:noFill/>
              </a:ln>
              <a:effectLst/>
            </c:spPr>
            <c:txPr>
              <a:bodyPr/>
              <a:lstStyle/>
              <a:p>
                <a:pPr>
                  <a:defRPr sz="105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'[V1 8-28 Cancer paper graphs.xlsx]Fig. 4 3 Beva cost levels'!$B$2:$C$2</c:f>
              <c:numCache>
                <c:formatCode>General</c:formatCode>
                <c:ptCount val="2"/>
                <c:pt idx="0">
                  <c:v>11.17</c:v>
                </c:pt>
                <c:pt idx="1">
                  <c:v>13.85</c:v>
                </c:pt>
              </c:numCache>
            </c:numRef>
          </c:xVal>
          <c:yVal>
            <c:numRef>
              <c:f>'[V1 8-28 Cancer paper graphs.xlsx]Fig. 4 3 Beva cost levels'!$B$3:$C$3</c:f>
              <c:numCache>
                <c:formatCode>"$"#,##0</c:formatCode>
                <c:ptCount val="2"/>
                <c:pt idx="0">
                  <c:v>5938</c:v>
                </c:pt>
                <c:pt idx="1">
                  <c:v>79097</c:v>
                </c:pt>
              </c:numCache>
            </c:numRef>
          </c:yVal>
          <c:smooth val="0"/>
        </c:ser>
        <c:ser>
          <c:idx val="1"/>
          <c:order val="1"/>
          <c:tx>
            <c:strRef>
              <c:f>'[V1 8-28 Cancer paper graphs.xlsx]Fig. 4 3 Beva cost levels'!$A$4</c:f>
              <c:strCache>
                <c:ptCount val="1"/>
                <c:pt idx="0">
                  <c:v>50% Current Cost</c:v>
                </c:pt>
              </c:strCache>
            </c:strRef>
          </c:tx>
          <c:spPr>
            <a:ln>
              <a:solidFill>
                <a:schemeClr val="tx2">
                  <a:lumMod val="75000"/>
                </a:schemeClr>
              </a:solidFill>
              <a:prstDash val="sysDot"/>
            </a:ln>
          </c:spPr>
          <c:marker>
            <c:symbol val="triangle"/>
            <c:size val="5"/>
            <c:spPr>
              <a:solidFill>
                <a:schemeClr val="tx2">
                  <a:lumMod val="75000"/>
                </a:schemeClr>
              </a:solidFill>
            </c:spPr>
          </c:marker>
          <c:dLbls>
            <c:dLbl>
              <c:idx val="1"/>
              <c:layout>
                <c:manualLayout>
                  <c:x val="-5.1440329218106996E-3"/>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howLegendKey val="0"/>
            <c:showVal val="0"/>
            <c:showCatName val="0"/>
            <c:showSerName val="0"/>
            <c:showPercent val="0"/>
            <c:showBubbleSize val="0"/>
            <c:extLst>
              <c:ext xmlns:c15="http://schemas.microsoft.com/office/drawing/2012/chart" uri="{CE6537A1-D6FC-4f65-9D91-7224C49458BB}">
                <c15:showLeaderLines val="0"/>
              </c:ext>
            </c:extLst>
          </c:dLbls>
          <c:xVal>
            <c:numRef>
              <c:f>'[V1 8-28 Cancer paper graphs.xlsx]Fig. 4 3 Beva cost levels'!$B$2:$C$2</c:f>
              <c:numCache>
                <c:formatCode>General</c:formatCode>
                <c:ptCount val="2"/>
                <c:pt idx="0">
                  <c:v>11.17</c:v>
                </c:pt>
                <c:pt idx="1">
                  <c:v>13.85</c:v>
                </c:pt>
              </c:numCache>
            </c:numRef>
          </c:xVal>
          <c:yVal>
            <c:numRef>
              <c:f>'[V1 8-28 Cancer paper graphs.xlsx]Fig. 4 3 Beva cost levels'!$B$4:$C$4</c:f>
              <c:numCache>
                <c:formatCode>"$"#,##0</c:formatCode>
                <c:ptCount val="2"/>
                <c:pt idx="0">
                  <c:v>5938</c:v>
                </c:pt>
                <c:pt idx="1">
                  <c:v>43569</c:v>
                </c:pt>
              </c:numCache>
            </c:numRef>
          </c:yVal>
          <c:smooth val="0"/>
        </c:ser>
        <c:ser>
          <c:idx val="2"/>
          <c:order val="2"/>
          <c:tx>
            <c:strRef>
              <c:f>'[V1 8-28 Cancer paper graphs.xlsx]Fig. 4 3 Beva cost levels'!$A$5</c:f>
              <c:strCache>
                <c:ptCount val="1"/>
                <c:pt idx="0">
                  <c:v>25% Current Cost</c:v>
                </c:pt>
              </c:strCache>
            </c:strRef>
          </c:tx>
          <c:marker>
            <c:symbol val="square"/>
            <c:size val="5"/>
            <c:spPr>
              <a:solidFill>
                <a:srgbClr val="92D050"/>
              </a:solidFill>
            </c:spPr>
          </c:marker>
          <c:dLbls>
            <c:dLbl>
              <c:idx val="1"/>
              <c:layout>
                <c:manualLayout>
                  <c:x val="-7.8513760341360796E-3"/>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howLegendKey val="0"/>
            <c:showVal val="0"/>
            <c:showCatName val="0"/>
            <c:showSerName val="0"/>
            <c:showPercent val="0"/>
            <c:showBubbleSize val="0"/>
            <c:extLst>
              <c:ext xmlns:c15="http://schemas.microsoft.com/office/drawing/2012/chart" uri="{CE6537A1-D6FC-4f65-9D91-7224C49458BB}">
                <c15:showLeaderLines val="0"/>
              </c:ext>
            </c:extLst>
          </c:dLbls>
          <c:xVal>
            <c:numRef>
              <c:f>'[V1 8-28 Cancer paper graphs.xlsx]Fig. 4 3 Beva cost levels'!$B$2:$C$2</c:f>
              <c:numCache>
                <c:formatCode>General</c:formatCode>
                <c:ptCount val="2"/>
                <c:pt idx="0">
                  <c:v>11.17</c:v>
                </c:pt>
                <c:pt idx="1">
                  <c:v>13.85</c:v>
                </c:pt>
              </c:numCache>
            </c:numRef>
          </c:xVal>
          <c:yVal>
            <c:numRef>
              <c:f>'[V1 8-28 Cancer paper graphs.xlsx]Fig. 4 3 Beva cost levels'!$B$5:$C$5</c:f>
              <c:numCache>
                <c:formatCode>"$"#,##0</c:formatCode>
                <c:ptCount val="2"/>
                <c:pt idx="0">
                  <c:v>5938</c:v>
                </c:pt>
                <c:pt idx="1">
                  <c:v>25804</c:v>
                </c:pt>
              </c:numCache>
            </c:numRef>
          </c:yVal>
          <c:smooth val="0"/>
        </c:ser>
        <c:dLbls>
          <c:showLegendKey val="0"/>
          <c:showVal val="0"/>
          <c:showCatName val="0"/>
          <c:showSerName val="0"/>
          <c:showPercent val="0"/>
          <c:showBubbleSize val="0"/>
        </c:dLbls>
        <c:axId val="90921216"/>
        <c:axId val="95093120"/>
      </c:scatterChart>
      <c:valAx>
        <c:axId val="90921216"/>
        <c:scaling>
          <c:orientation val="minMax"/>
          <c:max val="15"/>
          <c:min val="10"/>
        </c:scaling>
        <c:delete val="0"/>
        <c:axPos val="b"/>
        <c:title>
          <c:tx>
            <c:rich>
              <a:bodyPr/>
              <a:lstStyle/>
              <a:p>
                <a:pPr>
                  <a:defRPr/>
                </a:pPr>
                <a:r>
                  <a:rPr lang="en-US"/>
                  <a:t>Quality Adjusted Life month</a:t>
                </a:r>
                <a:r>
                  <a:rPr lang="en-US" baseline="30000"/>
                  <a:t>cc</a:t>
                </a:r>
                <a:endParaRPr lang="en-US"/>
              </a:p>
              <a:p>
                <a:pPr>
                  <a:defRPr/>
                </a:pPr>
                <a:r>
                  <a:rPr lang="en-US" sz="800"/>
                  <a:t>11.2 months with Chemo Alone vs.</a:t>
                </a:r>
                <a:r>
                  <a:rPr lang="en-US" sz="800" baseline="0"/>
                  <a:t> </a:t>
                </a:r>
              </a:p>
              <a:p>
                <a:pPr>
                  <a:defRPr/>
                </a:pPr>
                <a:r>
                  <a:rPr lang="en-US" sz="800" baseline="0"/>
                  <a:t>13.9 months with Chemo + Bevacizumab</a:t>
                </a:r>
                <a:r>
                  <a:rPr lang="en-US" sz="800"/>
                  <a:t> </a:t>
                </a:r>
              </a:p>
            </c:rich>
          </c:tx>
          <c:overlay val="0"/>
        </c:title>
        <c:numFmt formatCode="General" sourceLinked="1"/>
        <c:majorTickMark val="out"/>
        <c:minorTickMark val="in"/>
        <c:tickLblPos val="nextTo"/>
        <c:crossAx val="95093120"/>
        <c:crosses val="autoZero"/>
        <c:crossBetween val="midCat"/>
        <c:majorUnit val="1"/>
        <c:minorUnit val="0.5"/>
      </c:valAx>
      <c:valAx>
        <c:axId val="95093120"/>
        <c:scaling>
          <c:orientation val="minMax"/>
          <c:max val="80000"/>
          <c:min val="0"/>
        </c:scaling>
        <c:delete val="0"/>
        <c:axPos val="l"/>
        <c:majorGridlines>
          <c:spPr>
            <a:ln>
              <a:noFill/>
            </a:ln>
          </c:spPr>
        </c:majorGridlines>
        <c:title>
          <c:tx>
            <c:rich>
              <a:bodyPr/>
              <a:lstStyle/>
              <a:p>
                <a:pPr>
                  <a:defRPr/>
                </a:pPr>
                <a:r>
                  <a:rPr lang="en-US"/>
                  <a:t>Treatment Cost</a:t>
                </a:r>
              </a:p>
            </c:rich>
          </c:tx>
          <c:overlay val="0"/>
        </c:title>
        <c:numFmt formatCode="&quot;$&quot;#,##0" sourceLinked="0"/>
        <c:majorTickMark val="out"/>
        <c:minorTickMark val="in"/>
        <c:tickLblPos val="nextTo"/>
        <c:crossAx val="90921216"/>
        <c:crosses val="autoZero"/>
        <c:crossBetween val="midCat"/>
        <c:majorUnit val="20000"/>
        <c:minorUnit val="5000"/>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 Irvine | Paul Merage School of Business</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Keller</dc:creator>
  <cp:lastModifiedBy>Robin Keller</cp:lastModifiedBy>
  <cp:revision>2</cp:revision>
  <cp:lastPrinted>2016-01-09T01:30:00Z</cp:lastPrinted>
  <dcterms:created xsi:type="dcterms:W3CDTF">2016-03-05T17:32:00Z</dcterms:created>
  <dcterms:modified xsi:type="dcterms:W3CDTF">2016-03-05T17:32:00Z</dcterms:modified>
</cp:coreProperties>
</file>