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FEE2D" w14:textId="680726B1" w:rsidR="00CE54CD" w:rsidRDefault="00CE54CD" w:rsidP="00CE54CD">
      <w:pPr>
        <w:spacing w:line="480" w:lineRule="auto"/>
        <w:jc w:val="center"/>
        <w:rPr>
          <w:rFonts w:eastAsia="Times New Roman"/>
        </w:rPr>
      </w:pPr>
      <w:r>
        <w:rPr>
          <w:rFonts w:eastAsia="Times New Roman"/>
        </w:rPr>
        <w:t>DO PICTOGRAPHS AFFECT PROBABILITY COMPREHENSION AND RISK PERCEPTION OF MULTIPLE-RISK COMMUNICATIONS?</w:t>
      </w:r>
    </w:p>
    <w:p w14:paraId="5F612D35" w14:textId="77777777" w:rsidR="00CE54CD" w:rsidRDefault="00CE54CD" w:rsidP="00CE54CD">
      <w:pPr>
        <w:spacing w:line="480" w:lineRule="auto"/>
        <w:rPr>
          <w:rFonts w:eastAsiaTheme="minorHAnsi"/>
        </w:rPr>
      </w:pPr>
    </w:p>
    <w:p w14:paraId="2E1023A5" w14:textId="77777777" w:rsidR="00CE54CD" w:rsidRDefault="00CE54CD" w:rsidP="00CE54CD">
      <w:pPr>
        <w:spacing w:line="480" w:lineRule="auto"/>
        <w:jc w:val="center"/>
      </w:pPr>
      <w:r>
        <w:t>James M. Leonhardt</w:t>
      </w:r>
    </w:p>
    <w:p w14:paraId="3C343F2B" w14:textId="77777777" w:rsidR="00CE54CD" w:rsidRDefault="00CE54CD" w:rsidP="00CE54CD">
      <w:pPr>
        <w:spacing w:line="480" w:lineRule="auto"/>
        <w:jc w:val="center"/>
      </w:pPr>
      <w:r>
        <w:t>University of Nevada, Reno</w:t>
      </w:r>
    </w:p>
    <w:p w14:paraId="3B682060" w14:textId="77777777" w:rsidR="00CE54CD" w:rsidRDefault="00CE54CD" w:rsidP="00CE54CD">
      <w:pPr>
        <w:spacing w:line="480" w:lineRule="auto"/>
        <w:jc w:val="center"/>
      </w:pPr>
      <w:r>
        <w:t>L. Robin Keller</w:t>
      </w:r>
    </w:p>
    <w:p w14:paraId="24AECEDB" w14:textId="77777777" w:rsidR="00CE54CD" w:rsidRDefault="00CE54CD" w:rsidP="00CE54CD">
      <w:pPr>
        <w:spacing w:line="480" w:lineRule="auto"/>
        <w:jc w:val="center"/>
      </w:pPr>
      <w:r>
        <w:t>University of California, Irvine</w:t>
      </w:r>
    </w:p>
    <w:p w14:paraId="61426213" w14:textId="77777777" w:rsidR="00CE54CD" w:rsidRDefault="00CE54CD" w:rsidP="00CE54CD">
      <w:pPr>
        <w:spacing w:line="480" w:lineRule="auto"/>
        <w:jc w:val="center"/>
      </w:pPr>
    </w:p>
    <w:p w14:paraId="4AB96DC9" w14:textId="77777777" w:rsidR="00CE54CD" w:rsidRDefault="00CE54CD" w:rsidP="00CE54CD">
      <w:pPr>
        <w:spacing w:line="480" w:lineRule="auto"/>
        <w:jc w:val="center"/>
      </w:pPr>
      <w:r>
        <w:t>AUTHOR INFORMATION</w:t>
      </w:r>
    </w:p>
    <w:p w14:paraId="46B58DAA" w14:textId="77777777" w:rsidR="00CE54CD" w:rsidRDefault="00CE54CD" w:rsidP="00CE54CD">
      <w:pPr>
        <w:spacing w:line="480" w:lineRule="auto"/>
        <w:jc w:val="left"/>
      </w:pPr>
      <w:r>
        <w:t xml:space="preserve">James M. Leonhardt is Assistant Professor of Marketing at the University of Nevada, Reno (email: jleonhardt@unr.edu). L. Robin Keller is Professor of Operations and Decision Technologies at the University of California, Irvine (email: lrkeller@uci.edu). </w:t>
      </w:r>
    </w:p>
    <w:p w14:paraId="3E087DD6" w14:textId="77777777" w:rsidR="00CE54CD" w:rsidRDefault="00CE54CD" w:rsidP="00CE54CD">
      <w:pPr>
        <w:spacing w:line="480" w:lineRule="auto"/>
        <w:jc w:val="center"/>
      </w:pPr>
    </w:p>
    <w:p w14:paraId="66D054BB" w14:textId="77777777" w:rsidR="00CE54CD" w:rsidRDefault="00CE54CD" w:rsidP="00CE54CD">
      <w:pPr>
        <w:spacing w:line="480" w:lineRule="auto"/>
        <w:jc w:val="center"/>
      </w:pPr>
      <w:r>
        <w:t>AUTHOR NOTE</w:t>
      </w:r>
    </w:p>
    <w:p w14:paraId="614F698A" w14:textId="77777777" w:rsidR="00CE54CD" w:rsidRDefault="00CE54CD" w:rsidP="00CE54CD">
      <w:pPr>
        <w:spacing w:line="480" w:lineRule="auto"/>
        <w:jc w:val="left"/>
      </w:pPr>
      <w:r>
        <w:t>Please address correspondence to James M. Leonhardt, Department of Managerial Sciences, College of Business, University of Nevada, Reno, MS0028, Reno, NV, USA, 89557.</w:t>
      </w:r>
    </w:p>
    <w:p w14:paraId="3E90CAA5" w14:textId="77777777" w:rsidR="00CE54CD" w:rsidRDefault="00CE54CD" w:rsidP="00CE54CD">
      <w:pPr>
        <w:spacing w:line="480" w:lineRule="auto"/>
        <w:jc w:val="center"/>
      </w:pPr>
    </w:p>
    <w:p w14:paraId="53BAEAEA" w14:textId="77777777" w:rsidR="00CE54CD" w:rsidRDefault="00CE54CD" w:rsidP="00CE54CD">
      <w:pPr>
        <w:spacing w:line="480" w:lineRule="auto"/>
        <w:jc w:val="center"/>
      </w:pPr>
      <w:r>
        <w:t>ACKNOWLEDGEMENT</w:t>
      </w:r>
    </w:p>
    <w:p w14:paraId="44D2FE15" w14:textId="7093CBAA" w:rsidR="00CE54CD" w:rsidRDefault="00CE54CD" w:rsidP="00CE54CD">
      <w:pPr>
        <w:spacing w:line="480" w:lineRule="auto"/>
        <w:jc w:val="left"/>
      </w:pPr>
      <w:r>
        <w:t xml:space="preserve">The authors are grateful for assistance from the Editor and reviewers. This research was partially funded by the Newkirk Center for Science and Society. </w:t>
      </w:r>
    </w:p>
    <w:p w14:paraId="70F930A4" w14:textId="77777777" w:rsidR="00953CC1" w:rsidRDefault="00953CC1" w:rsidP="00CE54CD">
      <w:pPr>
        <w:spacing w:line="480" w:lineRule="auto"/>
        <w:jc w:val="left"/>
      </w:pPr>
    </w:p>
    <w:p w14:paraId="680818F6" w14:textId="1A1610F3" w:rsidR="00953CC1" w:rsidRPr="00953CC1" w:rsidRDefault="00953CC1" w:rsidP="00953CC1">
      <w:pPr>
        <w:shd w:val="clear" w:color="auto" w:fill="FFFFFF"/>
        <w:jc w:val="center"/>
        <w:rPr>
          <w:rFonts w:eastAsiaTheme="minorHAnsi"/>
          <w:b/>
          <w:sz w:val="28"/>
          <w:szCs w:val="28"/>
        </w:rPr>
      </w:pPr>
      <w:r w:rsidRPr="00953CC1">
        <w:rPr>
          <w:rFonts w:ascii="Garamond" w:hAnsi="Garamond"/>
          <w:b/>
          <w:bCs/>
          <w:sz w:val="28"/>
          <w:szCs w:val="28"/>
        </w:rPr>
        <w:t xml:space="preserve">Forthcoming, </w:t>
      </w:r>
      <w:r w:rsidRPr="00953CC1">
        <w:rPr>
          <w:rFonts w:ascii="Garamond" w:hAnsi="Garamond"/>
          <w:b/>
          <w:bCs/>
          <w:iCs/>
          <w:sz w:val="28"/>
          <w:szCs w:val="28"/>
          <w:u w:val="single"/>
          <w:lang w:val="en"/>
        </w:rPr>
        <w:t>Journal of Consumer Affairs</w:t>
      </w:r>
      <w:r w:rsidRPr="00953CC1">
        <w:rPr>
          <w:rFonts w:ascii="Garamond" w:hAnsi="Garamond"/>
          <w:b/>
          <w:bCs/>
          <w:iCs/>
          <w:sz w:val="28"/>
          <w:szCs w:val="28"/>
          <w:lang w:val="en"/>
        </w:rPr>
        <w:t>, accepted 12-22-2017.</w:t>
      </w:r>
    </w:p>
    <w:p w14:paraId="2A977D81" w14:textId="77777777" w:rsidR="00953CC1" w:rsidRDefault="00953CC1" w:rsidP="00CE54CD">
      <w:pPr>
        <w:spacing w:line="480" w:lineRule="auto"/>
        <w:jc w:val="left"/>
      </w:pPr>
    </w:p>
    <w:p w14:paraId="42D0F9AB" w14:textId="77777777" w:rsidR="00CE54CD" w:rsidRDefault="00CE54CD" w:rsidP="002908C7">
      <w:pPr>
        <w:spacing w:line="480" w:lineRule="auto"/>
        <w:contextualSpacing/>
        <w:jc w:val="center"/>
        <w:rPr>
          <w:rFonts w:eastAsia="Times New Roman"/>
          <w:color w:val="000000"/>
        </w:rPr>
      </w:pPr>
      <w:bookmarkStart w:id="0" w:name="_GoBack"/>
      <w:bookmarkEnd w:id="0"/>
    </w:p>
    <w:p w14:paraId="29418FFF" w14:textId="77777777" w:rsidR="00CE54CD" w:rsidRDefault="00CE54CD" w:rsidP="002908C7">
      <w:pPr>
        <w:spacing w:line="480" w:lineRule="auto"/>
        <w:contextualSpacing/>
        <w:jc w:val="center"/>
        <w:rPr>
          <w:rFonts w:eastAsia="Times New Roman"/>
          <w:color w:val="000000"/>
        </w:rPr>
      </w:pPr>
    </w:p>
    <w:p w14:paraId="1E37EC37" w14:textId="77777777" w:rsidR="00CE54CD" w:rsidRDefault="00CE54CD" w:rsidP="002908C7">
      <w:pPr>
        <w:spacing w:line="480" w:lineRule="auto"/>
        <w:contextualSpacing/>
        <w:jc w:val="center"/>
        <w:rPr>
          <w:rFonts w:eastAsia="Times New Roman"/>
          <w:color w:val="000000"/>
        </w:rPr>
      </w:pPr>
    </w:p>
    <w:p w14:paraId="408E0DD7" w14:textId="41420EA0" w:rsidR="00CF4B60" w:rsidRPr="00B26772" w:rsidRDefault="00E7671B" w:rsidP="002908C7">
      <w:pPr>
        <w:spacing w:line="480" w:lineRule="auto"/>
        <w:contextualSpacing/>
        <w:jc w:val="center"/>
        <w:rPr>
          <w:rFonts w:eastAsia="Times New Roman"/>
          <w:color w:val="000000"/>
        </w:rPr>
      </w:pPr>
      <w:r w:rsidRPr="00B26772">
        <w:rPr>
          <w:rFonts w:eastAsia="Times New Roman"/>
          <w:color w:val="000000"/>
        </w:rPr>
        <w:t xml:space="preserve">DO </w:t>
      </w:r>
      <w:r w:rsidR="00CF4B60" w:rsidRPr="00B26772">
        <w:rPr>
          <w:rFonts w:eastAsia="Times New Roman"/>
          <w:color w:val="000000"/>
        </w:rPr>
        <w:t xml:space="preserve">PICTOGRAPHS </w:t>
      </w:r>
      <w:r w:rsidRPr="00B26772">
        <w:rPr>
          <w:rFonts w:eastAsia="Times New Roman"/>
          <w:color w:val="000000"/>
        </w:rPr>
        <w:t>AFFECT PROBABILITY COMPREHENSION AND RISK PERCEPTION</w:t>
      </w:r>
      <w:r w:rsidR="004A2AAF">
        <w:rPr>
          <w:rFonts w:eastAsia="Times New Roman"/>
          <w:color w:val="000000"/>
        </w:rPr>
        <w:t xml:space="preserve"> OF</w:t>
      </w:r>
      <w:r w:rsidR="00CF4B60" w:rsidRPr="00B26772">
        <w:rPr>
          <w:rFonts w:eastAsia="Times New Roman"/>
          <w:color w:val="000000"/>
        </w:rPr>
        <w:t xml:space="preserve"> MULTIPLE-RISK </w:t>
      </w:r>
      <w:r w:rsidR="004A2AAF">
        <w:rPr>
          <w:rFonts w:eastAsia="Times New Roman"/>
          <w:color w:val="000000"/>
        </w:rPr>
        <w:t>COMMUNICATIONS</w:t>
      </w:r>
      <w:r w:rsidRPr="00B26772">
        <w:rPr>
          <w:rFonts w:eastAsia="Times New Roman"/>
          <w:color w:val="000000"/>
        </w:rPr>
        <w:t>?</w:t>
      </w:r>
    </w:p>
    <w:p w14:paraId="24B5BE35" w14:textId="5C14448C" w:rsidR="00CF4B60" w:rsidRPr="00B26772" w:rsidRDefault="00CF4B60" w:rsidP="002908C7">
      <w:pPr>
        <w:spacing w:line="480" w:lineRule="auto"/>
        <w:contextualSpacing/>
        <w:jc w:val="center"/>
        <w:rPr>
          <w:rFonts w:eastAsia="Times New Roman"/>
          <w:color w:val="000000"/>
        </w:rPr>
      </w:pPr>
    </w:p>
    <w:p w14:paraId="6B4ECD92" w14:textId="77777777" w:rsidR="00CF4B60" w:rsidRPr="00B26772" w:rsidRDefault="00CF4B60" w:rsidP="002908C7">
      <w:pPr>
        <w:spacing w:line="480" w:lineRule="auto"/>
        <w:contextualSpacing/>
        <w:jc w:val="center"/>
        <w:rPr>
          <w:rFonts w:eastAsia="Times New Roman"/>
          <w:color w:val="000000"/>
        </w:rPr>
      </w:pPr>
      <w:r w:rsidRPr="00B26772">
        <w:rPr>
          <w:rFonts w:eastAsia="Times New Roman"/>
          <w:color w:val="000000"/>
        </w:rPr>
        <w:t>ABSTRACT</w:t>
      </w:r>
    </w:p>
    <w:p w14:paraId="49313D78" w14:textId="62101CCF" w:rsidR="00CF4B60" w:rsidRPr="00B26772" w:rsidRDefault="007C3348" w:rsidP="002908C7">
      <w:pPr>
        <w:spacing w:before="100" w:beforeAutospacing="1" w:after="100" w:afterAutospacing="1" w:line="480" w:lineRule="auto"/>
        <w:ind w:firstLine="720"/>
        <w:contextualSpacing/>
        <w:jc w:val="left"/>
        <w:rPr>
          <w:rFonts w:eastAsia="Times New Roman"/>
          <w:color w:val="000000"/>
        </w:rPr>
      </w:pPr>
      <w:r>
        <w:rPr>
          <w:rFonts w:eastAsia="Times New Roman"/>
          <w:color w:val="000000"/>
        </w:rPr>
        <w:t>Pictographs can be used to visually present probabilistic information using a matrix of icons. Previous research on pictographs has</w:t>
      </w:r>
      <w:r w:rsidR="00CF4B60" w:rsidRPr="00B26772">
        <w:rPr>
          <w:rFonts w:eastAsia="Times New Roman"/>
          <w:color w:val="000000"/>
        </w:rPr>
        <w:t xml:space="preserve"> focused on single rather than multiple-risk options. The present research conducts a behavioral </w:t>
      </w:r>
      <w:r w:rsidR="002908C7" w:rsidRPr="00B26772">
        <w:rPr>
          <w:rFonts w:eastAsia="Times New Roman"/>
          <w:color w:val="000000"/>
        </w:rPr>
        <w:t>experiment to assess the effect</w:t>
      </w:r>
      <w:r w:rsidR="00E361A3">
        <w:rPr>
          <w:rFonts w:eastAsia="Times New Roman"/>
          <w:color w:val="000000"/>
        </w:rPr>
        <w:t>s</w:t>
      </w:r>
      <w:r w:rsidR="00CF4B60" w:rsidRPr="00B26772">
        <w:rPr>
          <w:rFonts w:eastAsia="Times New Roman"/>
          <w:color w:val="000000"/>
        </w:rPr>
        <w:t xml:space="preserve"> of </w:t>
      </w:r>
      <w:r w:rsidR="00863FA4" w:rsidRPr="00B26772">
        <w:rPr>
          <w:rFonts w:eastAsia="Times New Roman"/>
          <w:color w:val="000000"/>
        </w:rPr>
        <w:t>pictographs</w:t>
      </w:r>
      <w:r w:rsidR="00CF4B60" w:rsidRPr="00B26772">
        <w:rPr>
          <w:rFonts w:eastAsia="Times New Roman"/>
          <w:color w:val="000000"/>
        </w:rPr>
        <w:t xml:space="preserve"> on probability comprehension</w:t>
      </w:r>
      <w:r w:rsidR="00863FA4" w:rsidRPr="00B26772">
        <w:rPr>
          <w:rFonts w:eastAsia="Times New Roman"/>
          <w:color w:val="000000"/>
        </w:rPr>
        <w:t xml:space="preserve"> and risk perception</w:t>
      </w:r>
      <w:r w:rsidR="00CF4B60" w:rsidRPr="00B26772">
        <w:rPr>
          <w:rFonts w:eastAsia="Times New Roman"/>
          <w:color w:val="000000"/>
        </w:rPr>
        <w:t xml:space="preserve"> for single and multiple-risk options. The creation of the experimental stimuli </w:t>
      </w:r>
      <w:r w:rsidR="00863FA4" w:rsidRPr="00B26772">
        <w:rPr>
          <w:rFonts w:eastAsia="Times New Roman"/>
          <w:color w:val="000000"/>
        </w:rPr>
        <w:t>is</w:t>
      </w:r>
      <w:r w:rsidR="00CF4B60" w:rsidRPr="00B26772">
        <w:rPr>
          <w:rFonts w:eastAsia="Times New Roman"/>
          <w:color w:val="000000"/>
        </w:rPr>
        <w:t xml:space="preserve"> informed by a review of the Centers for Disease Control and Prevention</w:t>
      </w:r>
      <w:r w:rsidR="00E7671B" w:rsidRPr="00B26772">
        <w:rPr>
          <w:rFonts w:eastAsia="Times New Roman"/>
          <w:color w:val="000000"/>
        </w:rPr>
        <w:t>’s vaccine information sheets</w:t>
      </w:r>
      <w:r w:rsidR="00CF4B60" w:rsidRPr="00B26772">
        <w:rPr>
          <w:rFonts w:eastAsia="Times New Roman"/>
          <w:color w:val="000000"/>
        </w:rPr>
        <w:t xml:space="preserve">. The results </w:t>
      </w:r>
      <w:r w:rsidR="002E09FF">
        <w:rPr>
          <w:rFonts w:eastAsia="Times New Roman"/>
          <w:color w:val="000000"/>
        </w:rPr>
        <w:t>suggest</w:t>
      </w:r>
      <w:r w:rsidR="00CF4B60" w:rsidRPr="00B26772">
        <w:rPr>
          <w:rFonts w:eastAsia="Times New Roman"/>
          <w:color w:val="000000"/>
        </w:rPr>
        <w:t xml:space="preserve"> that, in the context of childhood vaccines, the inclusion of pictographs alongside numeric (e.g. 1 in 5) probability information can result in </w:t>
      </w:r>
      <w:r w:rsidR="00863FA4" w:rsidRPr="00B26772">
        <w:rPr>
          <w:rFonts w:eastAsia="Times New Roman"/>
          <w:color w:val="000000"/>
        </w:rPr>
        <w:t xml:space="preserve">higher probability comprehension and </w:t>
      </w:r>
      <w:r w:rsidR="00CF4B60" w:rsidRPr="00B26772">
        <w:rPr>
          <w:rFonts w:eastAsia="Times New Roman"/>
          <w:color w:val="000000"/>
        </w:rPr>
        <w:t>lower risk perception for multiple-risk option</w:t>
      </w:r>
      <w:r w:rsidR="00D37B85">
        <w:rPr>
          <w:rFonts w:eastAsia="Times New Roman"/>
          <w:color w:val="000000"/>
        </w:rPr>
        <w:t xml:space="preserve">s; however, </w:t>
      </w:r>
      <w:r w:rsidR="00A56485">
        <w:rPr>
          <w:rFonts w:eastAsia="Times New Roman"/>
          <w:color w:val="000000"/>
        </w:rPr>
        <w:t>th</w:t>
      </w:r>
      <w:r w:rsidR="00D37B85">
        <w:rPr>
          <w:rFonts w:eastAsia="Times New Roman"/>
          <w:color w:val="000000"/>
        </w:rPr>
        <w:t xml:space="preserve">ese effects are not </w:t>
      </w:r>
      <w:r w:rsidR="00A56485">
        <w:rPr>
          <w:rFonts w:eastAsia="Times New Roman"/>
          <w:color w:val="000000"/>
        </w:rPr>
        <w:t>observed</w:t>
      </w:r>
      <w:r w:rsidR="00CF4B60" w:rsidRPr="00B26772">
        <w:rPr>
          <w:rFonts w:eastAsia="Times New Roman"/>
          <w:color w:val="000000"/>
        </w:rPr>
        <w:t xml:space="preserve"> for single-risk option</w:t>
      </w:r>
      <w:r w:rsidR="00D37B85">
        <w:rPr>
          <w:rFonts w:eastAsia="Times New Roman"/>
          <w:color w:val="000000"/>
        </w:rPr>
        <w:t>s</w:t>
      </w:r>
      <w:r w:rsidR="00CF4B60" w:rsidRPr="00B26772">
        <w:rPr>
          <w:rFonts w:eastAsia="Times New Roman"/>
          <w:color w:val="000000"/>
        </w:rPr>
        <w:t xml:space="preserve">. </w:t>
      </w:r>
      <w:r w:rsidR="00CE6E71" w:rsidRPr="00B26772">
        <w:rPr>
          <w:rFonts w:eastAsia="Times New Roman"/>
          <w:color w:val="000000"/>
        </w:rPr>
        <w:t>Th</w:t>
      </w:r>
      <w:r w:rsidR="00414A99" w:rsidRPr="00B26772">
        <w:rPr>
          <w:rFonts w:eastAsia="Times New Roman"/>
          <w:color w:val="000000"/>
        </w:rPr>
        <w:t>ese findings have implications for</w:t>
      </w:r>
      <w:r w:rsidR="00CF4B60" w:rsidRPr="00B26772">
        <w:rPr>
          <w:rFonts w:eastAsia="Times New Roman"/>
          <w:color w:val="000000"/>
        </w:rPr>
        <w:t xml:space="preserve"> how health</w:t>
      </w:r>
      <w:r w:rsidR="00414A99" w:rsidRPr="00B26772">
        <w:rPr>
          <w:rFonts w:eastAsia="Times New Roman"/>
          <w:color w:val="000000"/>
        </w:rPr>
        <w:t xml:space="preserve">-related </w:t>
      </w:r>
      <w:r w:rsidR="00CF4B60" w:rsidRPr="00B26772">
        <w:rPr>
          <w:rFonts w:eastAsia="Times New Roman"/>
          <w:color w:val="000000"/>
        </w:rPr>
        <w:t>risks are communicated to the public.</w:t>
      </w:r>
    </w:p>
    <w:p w14:paraId="010FFFEF" w14:textId="77777777" w:rsidR="00CF4B60" w:rsidRPr="00B26772" w:rsidRDefault="00CF4B60" w:rsidP="002908C7">
      <w:pPr>
        <w:spacing w:before="100" w:beforeAutospacing="1" w:after="100" w:afterAutospacing="1" w:line="480" w:lineRule="auto"/>
        <w:contextualSpacing/>
        <w:jc w:val="left"/>
        <w:rPr>
          <w:rFonts w:eastAsia="Times New Roman"/>
          <w:color w:val="000000"/>
        </w:rPr>
      </w:pPr>
      <w:r w:rsidRPr="00B26772">
        <w:rPr>
          <w:rFonts w:eastAsia="Times New Roman"/>
          <w:color w:val="000000"/>
        </w:rPr>
        <w:t> </w:t>
      </w:r>
    </w:p>
    <w:p w14:paraId="5DDA3768" w14:textId="1BFF9247" w:rsidR="00CF4B60" w:rsidRPr="00B26772" w:rsidRDefault="00CF4B60" w:rsidP="002908C7">
      <w:pPr>
        <w:spacing w:before="100" w:beforeAutospacing="1" w:after="100" w:afterAutospacing="1" w:line="480" w:lineRule="auto"/>
        <w:contextualSpacing/>
        <w:jc w:val="left"/>
        <w:rPr>
          <w:rFonts w:eastAsia="Times New Roman"/>
          <w:color w:val="000000"/>
        </w:rPr>
      </w:pPr>
      <w:r w:rsidRPr="00B26772">
        <w:rPr>
          <w:rFonts w:eastAsia="Times New Roman"/>
          <w:color w:val="000000"/>
        </w:rPr>
        <w:t>Keywords: Pictograph, Risk Perception, Probability Comprehension</w:t>
      </w:r>
    </w:p>
    <w:p w14:paraId="178C8AD8" w14:textId="77777777" w:rsidR="00CF4B60" w:rsidRPr="00B26772" w:rsidRDefault="00CF4B60" w:rsidP="002908C7">
      <w:pPr>
        <w:spacing w:before="100" w:beforeAutospacing="1" w:after="100" w:afterAutospacing="1" w:line="480" w:lineRule="auto"/>
        <w:contextualSpacing/>
        <w:jc w:val="left"/>
        <w:rPr>
          <w:rFonts w:eastAsia="Times New Roman"/>
          <w:color w:val="000000"/>
        </w:rPr>
      </w:pPr>
      <w:r w:rsidRPr="00B26772">
        <w:rPr>
          <w:rFonts w:eastAsia="Times New Roman"/>
          <w:color w:val="000000"/>
        </w:rPr>
        <w:t> </w:t>
      </w:r>
    </w:p>
    <w:p w14:paraId="05B73B4B" w14:textId="77777777" w:rsidR="00CF4B60" w:rsidRPr="00B26772" w:rsidRDefault="00CF4B60" w:rsidP="002908C7">
      <w:pPr>
        <w:spacing w:before="100" w:beforeAutospacing="1" w:after="100" w:afterAutospacing="1" w:line="480" w:lineRule="auto"/>
        <w:contextualSpacing/>
        <w:jc w:val="left"/>
        <w:rPr>
          <w:rFonts w:eastAsia="Times New Roman"/>
          <w:color w:val="000000"/>
        </w:rPr>
      </w:pPr>
      <w:r w:rsidRPr="00B26772">
        <w:rPr>
          <w:rFonts w:eastAsia="Times New Roman"/>
          <w:color w:val="000000"/>
        </w:rPr>
        <w:t> </w:t>
      </w:r>
    </w:p>
    <w:p w14:paraId="616A4FE9" w14:textId="77777777" w:rsidR="00CF4B60" w:rsidRPr="00B26772" w:rsidRDefault="00CF4B60" w:rsidP="002908C7">
      <w:pPr>
        <w:spacing w:before="100" w:beforeAutospacing="1" w:after="100" w:afterAutospacing="1" w:line="480" w:lineRule="auto"/>
        <w:contextualSpacing/>
        <w:jc w:val="left"/>
        <w:rPr>
          <w:rFonts w:eastAsia="Times New Roman"/>
          <w:color w:val="000000"/>
        </w:rPr>
      </w:pPr>
      <w:r w:rsidRPr="00B26772">
        <w:rPr>
          <w:rFonts w:eastAsia="Times New Roman"/>
          <w:color w:val="000000"/>
        </w:rPr>
        <w:t> </w:t>
      </w:r>
    </w:p>
    <w:p w14:paraId="4688892B" w14:textId="77777777" w:rsidR="00CF4B60" w:rsidRPr="00B26772" w:rsidRDefault="00CF4B60" w:rsidP="002908C7">
      <w:pPr>
        <w:spacing w:before="100" w:beforeAutospacing="1" w:after="100" w:afterAutospacing="1" w:line="480" w:lineRule="auto"/>
        <w:contextualSpacing/>
        <w:jc w:val="left"/>
        <w:rPr>
          <w:rFonts w:eastAsia="Times New Roman"/>
          <w:color w:val="000000"/>
        </w:rPr>
      </w:pPr>
    </w:p>
    <w:p w14:paraId="7F030332" w14:textId="77777777" w:rsidR="00CF4B60" w:rsidRPr="00B26772" w:rsidRDefault="00CF4B60" w:rsidP="002908C7">
      <w:pPr>
        <w:spacing w:before="100" w:beforeAutospacing="1" w:after="100" w:afterAutospacing="1" w:line="480" w:lineRule="auto"/>
        <w:contextualSpacing/>
        <w:jc w:val="left"/>
        <w:rPr>
          <w:rFonts w:eastAsia="Times New Roman"/>
          <w:color w:val="000000"/>
        </w:rPr>
      </w:pPr>
    </w:p>
    <w:p w14:paraId="319E876E" w14:textId="0F33F914" w:rsidR="00CF4B60" w:rsidRDefault="00CF4B60" w:rsidP="002908C7">
      <w:pPr>
        <w:spacing w:before="100" w:beforeAutospacing="1" w:after="100" w:afterAutospacing="1" w:line="480" w:lineRule="auto"/>
        <w:contextualSpacing/>
        <w:jc w:val="left"/>
        <w:rPr>
          <w:rFonts w:eastAsia="Times New Roman"/>
          <w:color w:val="000000"/>
        </w:rPr>
      </w:pPr>
    </w:p>
    <w:p w14:paraId="57E72A36" w14:textId="77777777" w:rsidR="004B4283" w:rsidRPr="00B26772" w:rsidRDefault="004B4283" w:rsidP="002908C7">
      <w:pPr>
        <w:spacing w:before="100" w:beforeAutospacing="1" w:after="100" w:afterAutospacing="1" w:line="480" w:lineRule="auto"/>
        <w:contextualSpacing/>
        <w:jc w:val="left"/>
        <w:rPr>
          <w:rFonts w:eastAsia="Times New Roman"/>
          <w:color w:val="000000"/>
        </w:rPr>
      </w:pPr>
    </w:p>
    <w:p w14:paraId="29BE60F4" w14:textId="77777777" w:rsidR="00CF4B60" w:rsidRPr="00B26772" w:rsidRDefault="00CF4B60" w:rsidP="002908C7">
      <w:pPr>
        <w:spacing w:before="100" w:beforeAutospacing="1" w:after="100" w:afterAutospacing="1" w:line="480" w:lineRule="auto"/>
        <w:contextualSpacing/>
        <w:jc w:val="center"/>
        <w:rPr>
          <w:rFonts w:eastAsia="Times New Roman"/>
          <w:color w:val="000000"/>
        </w:rPr>
      </w:pPr>
      <w:r w:rsidRPr="00B26772">
        <w:rPr>
          <w:rFonts w:eastAsia="Times New Roman"/>
          <w:color w:val="000000"/>
        </w:rPr>
        <w:t>INTRODUCTION</w:t>
      </w:r>
    </w:p>
    <w:p w14:paraId="103A15F1" w14:textId="7DD46CB8" w:rsidR="00863FA4" w:rsidRPr="00B26772" w:rsidRDefault="00390FCD" w:rsidP="00863FA4">
      <w:pPr>
        <w:spacing w:line="480" w:lineRule="auto"/>
        <w:ind w:firstLine="720"/>
        <w:contextualSpacing/>
        <w:jc w:val="left"/>
        <w:rPr>
          <w:rFonts w:eastAsia="Times New Roman"/>
          <w:color w:val="000000"/>
        </w:rPr>
      </w:pPr>
      <w:bookmarkStart w:id="1" w:name="_Hlk499041934"/>
      <w:r w:rsidRPr="00B26772">
        <w:rPr>
          <w:rFonts w:eastAsia="Times New Roman"/>
          <w:color w:val="000000"/>
        </w:rPr>
        <w:t xml:space="preserve">The U.S. healthcare system regards improving risk communication as a top priority (Rimer et al. 2004). </w:t>
      </w:r>
      <w:r w:rsidR="0050690E" w:rsidRPr="00B26772">
        <w:rPr>
          <w:rFonts w:eastAsia="Times New Roman"/>
          <w:color w:val="000000"/>
        </w:rPr>
        <w:t>Pictographs may serve as</w:t>
      </w:r>
      <w:r w:rsidR="00EF7BE2" w:rsidRPr="00B26772">
        <w:rPr>
          <w:rFonts w:eastAsia="Times New Roman"/>
          <w:color w:val="000000"/>
        </w:rPr>
        <w:t xml:space="preserve"> a valuable tool for communicating health</w:t>
      </w:r>
      <w:r w:rsidR="00B26772">
        <w:rPr>
          <w:rFonts w:eastAsia="Times New Roman"/>
          <w:color w:val="000000"/>
        </w:rPr>
        <w:t>-related</w:t>
      </w:r>
      <w:r w:rsidR="00EF7BE2" w:rsidRPr="00B26772">
        <w:rPr>
          <w:rFonts w:eastAsia="Times New Roman"/>
          <w:color w:val="000000"/>
        </w:rPr>
        <w:t xml:space="preserve"> risks to the public</w:t>
      </w:r>
      <w:r w:rsidR="00792128" w:rsidRPr="00B26772">
        <w:rPr>
          <w:rFonts w:eastAsia="Times New Roman"/>
          <w:color w:val="000000"/>
        </w:rPr>
        <w:t xml:space="preserve"> </w:t>
      </w:r>
      <w:r w:rsidR="00CF4B60" w:rsidRPr="00B26772">
        <w:rPr>
          <w:rFonts w:eastAsia="Times New Roman"/>
          <w:color w:val="000000"/>
        </w:rPr>
        <w:t xml:space="preserve">(for reviews, see Ancker et al. 2006; Garcia-Retamero and Cokely 2017). </w:t>
      </w:r>
      <w:bookmarkEnd w:id="1"/>
      <w:r w:rsidR="00120173" w:rsidRPr="00B26772">
        <w:rPr>
          <w:rFonts w:eastAsia="Times New Roman"/>
          <w:color w:val="000000"/>
        </w:rPr>
        <w:t>Pictographs use a matrix of icons (e.g. 100) to illustrate the frequenc</w:t>
      </w:r>
      <w:r w:rsidR="000F0034" w:rsidRPr="00B26772">
        <w:rPr>
          <w:rFonts w:eastAsia="Times New Roman"/>
          <w:color w:val="000000"/>
        </w:rPr>
        <w:t>ies of occurrence and nonoccurrence of a</w:t>
      </w:r>
      <w:r w:rsidR="003E4D3D" w:rsidRPr="00B26772">
        <w:rPr>
          <w:rFonts w:eastAsia="Times New Roman"/>
          <w:color w:val="000000"/>
        </w:rPr>
        <w:t>n</w:t>
      </w:r>
      <w:r w:rsidR="000F0034" w:rsidRPr="00B26772">
        <w:rPr>
          <w:rFonts w:eastAsia="Times New Roman"/>
          <w:color w:val="000000"/>
        </w:rPr>
        <w:t xml:space="preserve"> event</w:t>
      </w:r>
      <w:r w:rsidR="00440141" w:rsidRPr="00B26772">
        <w:rPr>
          <w:rFonts w:eastAsia="Times New Roman"/>
          <w:color w:val="000000"/>
        </w:rPr>
        <w:t xml:space="preserve"> (Garcia-Retamero, Galesic, and Gigerenzer 2010)</w:t>
      </w:r>
      <w:r w:rsidR="000F0034" w:rsidRPr="00B26772">
        <w:rPr>
          <w:rFonts w:eastAsia="Times New Roman"/>
          <w:color w:val="000000"/>
        </w:rPr>
        <w:t xml:space="preserve">. For example, a pictograph could </w:t>
      </w:r>
      <w:r w:rsidR="00863FA4" w:rsidRPr="00B26772">
        <w:rPr>
          <w:rFonts w:eastAsia="Times New Roman"/>
          <w:color w:val="000000"/>
        </w:rPr>
        <w:t xml:space="preserve">illustrate that among 100 users of a medication, 20 </w:t>
      </w:r>
      <w:r w:rsidR="00CA4607">
        <w:rPr>
          <w:rFonts w:eastAsia="Times New Roman"/>
          <w:color w:val="000000"/>
        </w:rPr>
        <w:t>users</w:t>
      </w:r>
      <w:r w:rsidR="00863FA4" w:rsidRPr="00B26772">
        <w:rPr>
          <w:rFonts w:eastAsia="Times New Roman"/>
          <w:color w:val="000000"/>
        </w:rPr>
        <w:t xml:space="preserve"> experience</w:t>
      </w:r>
      <w:r w:rsidR="004804F2">
        <w:rPr>
          <w:rFonts w:eastAsia="Times New Roman"/>
          <w:color w:val="000000"/>
        </w:rPr>
        <w:t>d</w:t>
      </w:r>
      <w:r w:rsidR="00863FA4" w:rsidRPr="00B26772">
        <w:rPr>
          <w:rFonts w:eastAsia="Times New Roman"/>
          <w:color w:val="000000"/>
        </w:rPr>
        <w:t xml:space="preserve"> drowsiness</w:t>
      </w:r>
      <w:r w:rsidR="00B26772">
        <w:rPr>
          <w:rFonts w:eastAsia="Times New Roman"/>
          <w:color w:val="000000"/>
        </w:rPr>
        <w:t xml:space="preserve"> as </w:t>
      </w:r>
      <w:r w:rsidR="0029254A">
        <w:rPr>
          <w:rFonts w:eastAsia="Times New Roman"/>
          <w:color w:val="000000"/>
        </w:rPr>
        <w:t xml:space="preserve">a </w:t>
      </w:r>
      <w:r w:rsidR="00B26772">
        <w:rPr>
          <w:rFonts w:eastAsia="Times New Roman"/>
          <w:color w:val="000000"/>
        </w:rPr>
        <w:t>side-effect</w:t>
      </w:r>
      <w:r w:rsidR="00863FA4" w:rsidRPr="00B26772">
        <w:rPr>
          <w:rFonts w:eastAsia="Times New Roman"/>
          <w:color w:val="000000"/>
        </w:rPr>
        <w:t xml:space="preserve">, while 80 </w:t>
      </w:r>
      <w:r w:rsidR="00CA4607">
        <w:rPr>
          <w:rFonts w:eastAsia="Times New Roman"/>
          <w:color w:val="000000"/>
        </w:rPr>
        <w:t>users</w:t>
      </w:r>
      <w:r w:rsidR="00863FA4" w:rsidRPr="00B26772">
        <w:rPr>
          <w:rFonts w:eastAsia="Times New Roman"/>
          <w:color w:val="000000"/>
        </w:rPr>
        <w:t xml:space="preserve"> </w:t>
      </w:r>
      <w:r w:rsidR="004804F2">
        <w:rPr>
          <w:rFonts w:eastAsia="Times New Roman"/>
          <w:color w:val="000000"/>
        </w:rPr>
        <w:t xml:space="preserve">did not. </w:t>
      </w:r>
    </w:p>
    <w:p w14:paraId="079A29E4" w14:textId="3CA45863" w:rsidR="00CF4B60" w:rsidRPr="00B26772" w:rsidRDefault="00120173" w:rsidP="001E0BD1">
      <w:pPr>
        <w:spacing w:line="480" w:lineRule="auto"/>
        <w:ind w:firstLine="720"/>
        <w:contextualSpacing/>
        <w:jc w:val="left"/>
        <w:rPr>
          <w:rFonts w:eastAsia="Times New Roman"/>
          <w:color w:val="000000"/>
        </w:rPr>
      </w:pPr>
      <w:r w:rsidRPr="00B26772">
        <w:rPr>
          <w:rFonts w:eastAsia="Times New Roman"/>
          <w:color w:val="000000"/>
        </w:rPr>
        <w:t>A</w:t>
      </w:r>
      <w:r w:rsidR="00CF4B60" w:rsidRPr="00B26772">
        <w:rPr>
          <w:rFonts w:eastAsia="Times New Roman"/>
          <w:color w:val="000000"/>
        </w:rPr>
        <w:t xml:space="preserve"> limitation of previous research on </w:t>
      </w:r>
      <w:r w:rsidR="00B068DC" w:rsidRPr="00B26772">
        <w:rPr>
          <w:rFonts w:eastAsia="Times New Roman"/>
          <w:color w:val="000000"/>
        </w:rPr>
        <w:t>pictographs</w:t>
      </w:r>
      <w:r w:rsidR="00B26772">
        <w:rPr>
          <w:rFonts w:eastAsia="Times New Roman"/>
          <w:color w:val="000000"/>
        </w:rPr>
        <w:t xml:space="preserve"> </w:t>
      </w:r>
      <w:r w:rsidR="00CF4B60" w:rsidRPr="00B26772">
        <w:rPr>
          <w:rFonts w:eastAsia="Times New Roman"/>
          <w:color w:val="000000"/>
        </w:rPr>
        <w:t>is that it has focused on single rather than multiple-risk options</w:t>
      </w:r>
      <w:r w:rsidR="00B26772">
        <w:rPr>
          <w:rFonts w:eastAsia="Times New Roman"/>
          <w:color w:val="000000"/>
        </w:rPr>
        <w:t xml:space="preserve"> (</w:t>
      </w:r>
      <w:r w:rsidR="00B26772" w:rsidRPr="00B26772">
        <w:rPr>
          <w:rFonts w:eastAsia="Times New Roman"/>
          <w:color w:val="000000"/>
        </w:rPr>
        <w:t>Ancker et al. 2006</w:t>
      </w:r>
      <w:r w:rsidR="00B26772">
        <w:rPr>
          <w:rFonts w:eastAsia="Times New Roman"/>
          <w:color w:val="000000"/>
        </w:rPr>
        <w:t>)</w:t>
      </w:r>
      <w:r w:rsidR="00CF4B60" w:rsidRPr="00B26772">
        <w:rPr>
          <w:rFonts w:eastAsia="Times New Roman"/>
          <w:color w:val="000000"/>
        </w:rPr>
        <w:t xml:space="preserve">. </w:t>
      </w:r>
      <w:r w:rsidR="00CC3609" w:rsidRPr="00B26772">
        <w:rPr>
          <w:rFonts w:eastAsia="Times New Roman"/>
          <w:color w:val="000000"/>
        </w:rPr>
        <w:t>A single-risk option has only one risk</w:t>
      </w:r>
      <w:r w:rsidR="00B26772">
        <w:rPr>
          <w:rFonts w:eastAsia="Times New Roman"/>
          <w:color w:val="000000"/>
        </w:rPr>
        <w:t xml:space="preserve">; </w:t>
      </w:r>
      <w:r w:rsidR="00CC3609" w:rsidRPr="00B26772">
        <w:rPr>
          <w:rFonts w:eastAsia="Times New Roman"/>
          <w:color w:val="000000"/>
        </w:rPr>
        <w:t xml:space="preserve">for example, </w:t>
      </w:r>
      <w:r w:rsidR="00570DA9" w:rsidRPr="00B26772">
        <w:rPr>
          <w:rFonts w:eastAsia="Times New Roman"/>
          <w:color w:val="000000"/>
        </w:rPr>
        <w:t xml:space="preserve">a </w:t>
      </w:r>
      <w:r w:rsidR="00CC3609" w:rsidRPr="00B26772">
        <w:rPr>
          <w:rFonts w:eastAsia="Times New Roman"/>
          <w:color w:val="000000"/>
        </w:rPr>
        <w:t xml:space="preserve">medication </w:t>
      </w:r>
      <w:r w:rsidR="00570DA9" w:rsidRPr="00B26772">
        <w:rPr>
          <w:rFonts w:eastAsia="Times New Roman"/>
          <w:color w:val="000000"/>
        </w:rPr>
        <w:t xml:space="preserve">with </w:t>
      </w:r>
      <w:r w:rsidR="00CC3609" w:rsidRPr="00B26772">
        <w:rPr>
          <w:rFonts w:eastAsia="Times New Roman"/>
          <w:color w:val="000000"/>
        </w:rPr>
        <w:t>one possible side-effect</w:t>
      </w:r>
      <w:r w:rsidR="00B34AE5" w:rsidRPr="00B26772">
        <w:rPr>
          <w:rFonts w:eastAsia="Times New Roman"/>
          <w:color w:val="000000"/>
        </w:rPr>
        <w:t xml:space="preserve"> (e.g. drowsiness). A m</w:t>
      </w:r>
      <w:r w:rsidR="00CC3609" w:rsidRPr="00B26772">
        <w:rPr>
          <w:rFonts w:eastAsia="Times New Roman"/>
          <w:color w:val="000000"/>
        </w:rPr>
        <w:t>ultiple-risk option ha</w:t>
      </w:r>
      <w:r w:rsidR="00B34AE5" w:rsidRPr="00B26772">
        <w:rPr>
          <w:rFonts w:eastAsia="Times New Roman"/>
          <w:color w:val="000000"/>
        </w:rPr>
        <w:t xml:space="preserve">s </w:t>
      </w:r>
      <w:r w:rsidR="00CC3609" w:rsidRPr="00B26772">
        <w:rPr>
          <w:rFonts w:eastAsia="Times New Roman"/>
          <w:color w:val="000000"/>
        </w:rPr>
        <w:t>more than one risk</w:t>
      </w:r>
      <w:r w:rsidR="00B26772">
        <w:rPr>
          <w:rFonts w:eastAsia="Times New Roman"/>
          <w:color w:val="000000"/>
        </w:rPr>
        <w:t>;</w:t>
      </w:r>
      <w:r w:rsidR="009F5314" w:rsidRPr="00B26772">
        <w:rPr>
          <w:rFonts w:eastAsia="Times New Roman"/>
          <w:color w:val="000000"/>
        </w:rPr>
        <w:t xml:space="preserve"> for example, </w:t>
      </w:r>
      <w:r w:rsidR="00B34AE5" w:rsidRPr="00B26772">
        <w:rPr>
          <w:rFonts w:eastAsia="Times New Roman"/>
          <w:color w:val="000000"/>
        </w:rPr>
        <w:t>a</w:t>
      </w:r>
      <w:r w:rsidR="009F5314" w:rsidRPr="00B26772">
        <w:rPr>
          <w:rFonts w:eastAsia="Times New Roman"/>
          <w:color w:val="000000"/>
        </w:rPr>
        <w:t xml:space="preserve"> </w:t>
      </w:r>
      <w:r w:rsidR="00CC3609" w:rsidRPr="00B26772">
        <w:rPr>
          <w:rFonts w:eastAsia="Times New Roman"/>
          <w:color w:val="000000"/>
        </w:rPr>
        <w:t>medication</w:t>
      </w:r>
      <w:r w:rsidR="00AD4647" w:rsidRPr="00B26772">
        <w:rPr>
          <w:rFonts w:eastAsia="Times New Roman"/>
          <w:color w:val="000000"/>
        </w:rPr>
        <w:t xml:space="preserve"> </w:t>
      </w:r>
      <w:r w:rsidR="00B34AE5" w:rsidRPr="00B26772">
        <w:rPr>
          <w:rFonts w:eastAsia="Times New Roman"/>
          <w:color w:val="000000"/>
        </w:rPr>
        <w:t>with several</w:t>
      </w:r>
      <w:r w:rsidR="00AD4647" w:rsidRPr="00B26772">
        <w:rPr>
          <w:rFonts w:eastAsia="Times New Roman"/>
          <w:color w:val="000000"/>
        </w:rPr>
        <w:t xml:space="preserve"> </w:t>
      </w:r>
      <w:r w:rsidR="00CC3609" w:rsidRPr="00B26772">
        <w:rPr>
          <w:rFonts w:eastAsia="Times New Roman"/>
          <w:color w:val="000000"/>
        </w:rPr>
        <w:t>possible side-effects</w:t>
      </w:r>
      <w:r w:rsidR="00B34AE5" w:rsidRPr="00B26772">
        <w:rPr>
          <w:rFonts w:eastAsia="Times New Roman"/>
          <w:color w:val="000000"/>
        </w:rPr>
        <w:t xml:space="preserve"> (e.g. drowsiness, mild fever, and vomiting). </w:t>
      </w:r>
      <w:r w:rsidR="00CF4B60" w:rsidRPr="00B26772">
        <w:rPr>
          <w:rFonts w:eastAsia="Times New Roman"/>
          <w:color w:val="000000"/>
        </w:rPr>
        <w:t>Multiple-risk options are present in a variety of health contexts</w:t>
      </w:r>
      <w:r w:rsidR="0029254A">
        <w:rPr>
          <w:rFonts w:eastAsia="Times New Roman"/>
          <w:color w:val="000000"/>
        </w:rPr>
        <w:t xml:space="preserve">, including </w:t>
      </w:r>
      <w:r w:rsidR="00CF4B60" w:rsidRPr="00B26772">
        <w:rPr>
          <w:rFonts w:eastAsia="Times New Roman"/>
          <w:color w:val="000000"/>
        </w:rPr>
        <w:t>when considering childhood immunizations (Frederickson et al. 2004), invasive health screenings (Waters et al. 2006), insurance coverage (Hibbard and Peters 2003), participation in medical studies (Fuller, Dudley, and Blacktop 2002), and genetic counseling (Grimes and Snively 1999).</w:t>
      </w:r>
      <w:r w:rsidR="00B34AE5" w:rsidRPr="00B26772">
        <w:rPr>
          <w:rFonts w:eastAsia="Times New Roman"/>
          <w:color w:val="000000"/>
        </w:rPr>
        <w:t xml:space="preserve"> </w:t>
      </w:r>
    </w:p>
    <w:p w14:paraId="4045BA9D" w14:textId="7F1CC559" w:rsidR="00CF4B60" w:rsidRPr="00B26772" w:rsidRDefault="00312936" w:rsidP="00D27BD8">
      <w:pPr>
        <w:spacing w:before="100" w:beforeAutospacing="1" w:after="100" w:afterAutospacing="1" w:line="480" w:lineRule="auto"/>
        <w:ind w:firstLine="720"/>
        <w:contextualSpacing/>
        <w:jc w:val="left"/>
        <w:rPr>
          <w:rFonts w:eastAsia="Times New Roman"/>
          <w:color w:val="000000"/>
        </w:rPr>
      </w:pPr>
      <w:r w:rsidRPr="00B26772">
        <w:rPr>
          <w:rFonts w:eastAsia="Times New Roman"/>
          <w:color w:val="000000"/>
        </w:rPr>
        <w:t xml:space="preserve">In the context of childhood </w:t>
      </w:r>
      <w:r w:rsidR="00255860" w:rsidRPr="00B26772">
        <w:rPr>
          <w:rFonts w:eastAsia="Times New Roman"/>
          <w:color w:val="000000"/>
        </w:rPr>
        <w:t>vaccines</w:t>
      </w:r>
      <w:r w:rsidRPr="00B26772">
        <w:rPr>
          <w:rFonts w:eastAsia="Times New Roman"/>
          <w:color w:val="000000"/>
        </w:rPr>
        <w:t>, the present research tests whether the inclusion of pictographs affects probability comprehension and risk perception</w:t>
      </w:r>
      <w:r w:rsidR="00010DB6" w:rsidRPr="00B26772">
        <w:rPr>
          <w:rFonts w:eastAsia="Times New Roman"/>
          <w:color w:val="000000"/>
        </w:rPr>
        <w:t xml:space="preserve"> </w:t>
      </w:r>
      <w:r w:rsidR="00792128" w:rsidRPr="00B26772">
        <w:rPr>
          <w:rFonts w:eastAsia="Times New Roman"/>
          <w:color w:val="000000"/>
        </w:rPr>
        <w:t xml:space="preserve">for </w:t>
      </w:r>
      <w:r w:rsidR="00010DB6" w:rsidRPr="00B26772">
        <w:rPr>
          <w:rFonts w:eastAsia="Times New Roman"/>
          <w:color w:val="000000"/>
        </w:rPr>
        <w:t xml:space="preserve">single </w:t>
      </w:r>
      <w:r w:rsidR="0050690E" w:rsidRPr="00B26772">
        <w:rPr>
          <w:rFonts w:eastAsia="Times New Roman"/>
          <w:color w:val="000000"/>
        </w:rPr>
        <w:t xml:space="preserve">and </w:t>
      </w:r>
      <w:r w:rsidR="00010DB6" w:rsidRPr="00B26772">
        <w:rPr>
          <w:rFonts w:eastAsia="Times New Roman"/>
          <w:color w:val="000000"/>
        </w:rPr>
        <w:t>multiple</w:t>
      </w:r>
      <w:r w:rsidR="00B26772">
        <w:rPr>
          <w:rFonts w:eastAsia="Times New Roman"/>
          <w:color w:val="000000"/>
        </w:rPr>
        <w:t>-</w:t>
      </w:r>
      <w:r w:rsidR="00010DB6" w:rsidRPr="00B26772">
        <w:rPr>
          <w:rFonts w:eastAsia="Times New Roman"/>
          <w:color w:val="000000"/>
        </w:rPr>
        <w:t xml:space="preserve">risk options. </w:t>
      </w:r>
      <w:r w:rsidR="00091136" w:rsidRPr="00B26772">
        <w:rPr>
          <w:rFonts w:eastAsia="Times New Roman"/>
          <w:color w:val="000000"/>
        </w:rPr>
        <w:t>Probability comprehension refers to the accurate understanding of probabilistic information (Miron-Shatz</w:t>
      </w:r>
      <w:r w:rsidR="00F818AB">
        <w:rPr>
          <w:rFonts w:eastAsia="Times New Roman"/>
          <w:color w:val="000000"/>
        </w:rPr>
        <w:t xml:space="preserve"> et al.</w:t>
      </w:r>
      <w:r w:rsidR="00091136" w:rsidRPr="00B26772">
        <w:rPr>
          <w:rFonts w:eastAsia="Times New Roman"/>
          <w:color w:val="000000"/>
        </w:rPr>
        <w:t xml:space="preserve"> 2009)</w:t>
      </w:r>
      <w:r w:rsidR="00CA4607">
        <w:rPr>
          <w:rFonts w:eastAsia="Times New Roman"/>
          <w:color w:val="000000"/>
        </w:rPr>
        <w:t>,</w:t>
      </w:r>
      <w:r w:rsidR="00B26772">
        <w:rPr>
          <w:rFonts w:eastAsia="Times New Roman"/>
          <w:color w:val="000000"/>
        </w:rPr>
        <w:t xml:space="preserve"> and </w:t>
      </w:r>
      <w:r w:rsidR="00255860" w:rsidRPr="00B26772">
        <w:rPr>
          <w:rFonts w:eastAsia="Times New Roman"/>
          <w:color w:val="000000"/>
        </w:rPr>
        <w:t>r</w:t>
      </w:r>
      <w:r w:rsidR="00260E63" w:rsidRPr="00B26772">
        <w:rPr>
          <w:rFonts w:eastAsia="Times New Roman"/>
          <w:color w:val="000000"/>
        </w:rPr>
        <w:t>isk perception</w:t>
      </w:r>
      <w:r w:rsidR="001E0BD1" w:rsidRPr="00B26772">
        <w:rPr>
          <w:rFonts w:eastAsia="Times New Roman"/>
          <w:color w:val="000000"/>
        </w:rPr>
        <w:t xml:space="preserve"> </w:t>
      </w:r>
      <w:r w:rsidR="009C1A16" w:rsidRPr="00B26772">
        <w:rPr>
          <w:rFonts w:eastAsia="Times New Roman"/>
          <w:color w:val="000000"/>
        </w:rPr>
        <w:t>refers to</w:t>
      </w:r>
      <w:r w:rsidR="00260E63" w:rsidRPr="00B26772">
        <w:rPr>
          <w:rFonts w:eastAsia="Times New Roman"/>
          <w:color w:val="000000"/>
        </w:rPr>
        <w:t xml:space="preserve"> affective feelings </w:t>
      </w:r>
      <w:r w:rsidR="009C1A16" w:rsidRPr="00B26772">
        <w:rPr>
          <w:rFonts w:eastAsia="Times New Roman"/>
          <w:color w:val="000000"/>
        </w:rPr>
        <w:t xml:space="preserve">that arise </w:t>
      </w:r>
      <w:r w:rsidR="009C1A16" w:rsidRPr="00B26772">
        <w:rPr>
          <w:rFonts w:eastAsia="Times New Roman"/>
          <w:color w:val="000000"/>
        </w:rPr>
        <w:lastRenderedPageBreak/>
        <w:t>from exposure to risk</w:t>
      </w:r>
      <w:r w:rsidR="00260E63" w:rsidRPr="00B26772">
        <w:rPr>
          <w:rFonts w:eastAsia="Times New Roman"/>
          <w:color w:val="000000"/>
        </w:rPr>
        <w:t xml:space="preserve"> information (Slovic and Peters 2006).</w:t>
      </w:r>
      <w:r w:rsidR="009C1A16" w:rsidRPr="00B26772">
        <w:rPr>
          <w:rFonts w:eastAsia="Times New Roman"/>
          <w:color w:val="000000"/>
        </w:rPr>
        <w:t xml:space="preserve"> </w:t>
      </w:r>
      <w:r w:rsidR="005A73ED" w:rsidRPr="00B26772">
        <w:rPr>
          <w:rFonts w:eastAsia="Times New Roman"/>
          <w:color w:val="000000"/>
        </w:rPr>
        <w:t xml:space="preserve">The </w:t>
      </w:r>
      <w:r w:rsidR="00255860" w:rsidRPr="00B26772">
        <w:rPr>
          <w:rFonts w:eastAsia="Times New Roman"/>
          <w:color w:val="000000"/>
        </w:rPr>
        <w:t>present research</w:t>
      </w:r>
      <w:r w:rsidR="005A73ED" w:rsidRPr="00B26772">
        <w:rPr>
          <w:rFonts w:eastAsia="Times New Roman"/>
          <w:color w:val="000000"/>
        </w:rPr>
        <w:t xml:space="preserve"> finds that the</w:t>
      </w:r>
      <w:r w:rsidR="00CD4145" w:rsidRPr="00B26772">
        <w:rPr>
          <w:rFonts w:eastAsia="Times New Roman"/>
          <w:color w:val="000000"/>
        </w:rPr>
        <w:t xml:space="preserve"> presence (vs. absence) of pictographs</w:t>
      </w:r>
      <w:r w:rsidR="00F818AB">
        <w:rPr>
          <w:rFonts w:eastAsia="Times New Roman"/>
          <w:color w:val="000000"/>
        </w:rPr>
        <w:t>, alongside numeric (e.g. 1 in 5) probability information,</w:t>
      </w:r>
      <w:r w:rsidR="00CD4145" w:rsidRPr="00B26772">
        <w:rPr>
          <w:rFonts w:eastAsia="Times New Roman"/>
          <w:color w:val="000000"/>
        </w:rPr>
        <w:t xml:space="preserve"> </w:t>
      </w:r>
      <w:r w:rsidR="005A73ED" w:rsidRPr="00B26772">
        <w:rPr>
          <w:rFonts w:eastAsia="Times New Roman"/>
          <w:color w:val="000000"/>
        </w:rPr>
        <w:t>increases</w:t>
      </w:r>
      <w:r w:rsidR="0050690E" w:rsidRPr="00B26772">
        <w:rPr>
          <w:rFonts w:eastAsia="Times New Roman"/>
          <w:color w:val="000000"/>
        </w:rPr>
        <w:t xml:space="preserve"> probability comprehension and lower</w:t>
      </w:r>
      <w:r w:rsidR="005A73ED" w:rsidRPr="00B26772">
        <w:rPr>
          <w:rFonts w:eastAsia="Times New Roman"/>
          <w:color w:val="000000"/>
        </w:rPr>
        <w:t>s</w:t>
      </w:r>
      <w:r w:rsidR="0050690E" w:rsidRPr="00B26772">
        <w:rPr>
          <w:rFonts w:eastAsia="Times New Roman"/>
          <w:color w:val="000000"/>
        </w:rPr>
        <w:t xml:space="preserve"> risk perception </w:t>
      </w:r>
      <w:r w:rsidR="001E0BD1" w:rsidRPr="00B26772">
        <w:rPr>
          <w:rFonts w:eastAsia="Times New Roman"/>
          <w:color w:val="000000"/>
        </w:rPr>
        <w:t xml:space="preserve">for </w:t>
      </w:r>
      <w:r w:rsidR="00CA4607" w:rsidRPr="00B26772">
        <w:rPr>
          <w:rFonts w:eastAsia="Times New Roman"/>
          <w:color w:val="000000"/>
        </w:rPr>
        <w:t>multiple</w:t>
      </w:r>
      <w:r w:rsidR="00CA4607">
        <w:rPr>
          <w:rFonts w:eastAsia="Times New Roman"/>
          <w:color w:val="000000"/>
        </w:rPr>
        <w:t>-</w:t>
      </w:r>
      <w:r w:rsidR="0050690E" w:rsidRPr="00B26772">
        <w:rPr>
          <w:rFonts w:eastAsia="Times New Roman"/>
          <w:color w:val="000000"/>
        </w:rPr>
        <w:t>risk options</w:t>
      </w:r>
      <w:r w:rsidR="001E0BD1" w:rsidRPr="00B26772">
        <w:rPr>
          <w:rFonts w:eastAsia="Times New Roman"/>
          <w:color w:val="000000"/>
        </w:rPr>
        <w:t>; however,</w:t>
      </w:r>
      <w:r w:rsidR="0050690E" w:rsidRPr="00B26772">
        <w:rPr>
          <w:rFonts w:eastAsia="Times New Roman"/>
          <w:color w:val="000000"/>
        </w:rPr>
        <w:t xml:space="preserve"> these effects are not observed </w:t>
      </w:r>
      <w:r w:rsidR="001E0BD1" w:rsidRPr="00B26772">
        <w:rPr>
          <w:rFonts w:eastAsia="Times New Roman"/>
          <w:color w:val="000000"/>
        </w:rPr>
        <w:t xml:space="preserve">for </w:t>
      </w:r>
      <w:r w:rsidR="0050690E" w:rsidRPr="00B26772">
        <w:rPr>
          <w:rFonts w:eastAsia="Times New Roman"/>
          <w:color w:val="000000"/>
        </w:rPr>
        <w:t xml:space="preserve">single-risk options. </w:t>
      </w:r>
      <w:r w:rsidR="008F325A" w:rsidRPr="00B26772">
        <w:rPr>
          <w:rFonts w:eastAsia="Times New Roman"/>
          <w:color w:val="000000"/>
        </w:rPr>
        <w:t>The</w:t>
      </w:r>
      <w:r w:rsidR="00CA4607">
        <w:rPr>
          <w:rFonts w:eastAsia="Times New Roman"/>
          <w:color w:val="000000"/>
        </w:rPr>
        <w:t xml:space="preserve"> </w:t>
      </w:r>
      <w:r w:rsidR="00F818AB">
        <w:rPr>
          <w:rFonts w:eastAsia="Times New Roman"/>
          <w:color w:val="000000"/>
        </w:rPr>
        <w:t xml:space="preserve">results have implications for how pictographs are used to communicate health-related risks to the public. </w:t>
      </w:r>
    </w:p>
    <w:p w14:paraId="4E14E802" w14:textId="77777777" w:rsidR="00CF4B60" w:rsidRPr="00B26772" w:rsidRDefault="00CF4B60" w:rsidP="002908C7">
      <w:pPr>
        <w:spacing w:before="100" w:beforeAutospacing="1" w:after="100" w:afterAutospacing="1" w:line="480" w:lineRule="auto"/>
        <w:contextualSpacing/>
        <w:jc w:val="center"/>
        <w:rPr>
          <w:rFonts w:eastAsia="Times New Roman"/>
          <w:color w:val="000000"/>
        </w:rPr>
      </w:pPr>
      <w:r w:rsidRPr="00B26772">
        <w:rPr>
          <w:rFonts w:eastAsia="Times New Roman"/>
          <w:color w:val="000000"/>
        </w:rPr>
        <w:t>BACKGROUND</w:t>
      </w:r>
    </w:p>
    <w:p w14:paraId="7344BB2A" w14:textId="55262C81" w:rsidR="00456A94" w:rsidRDefault="00221F2E" w:rsidP="00456A94">
      <w:pPr>
        <w:spacing w:before="100" w:beforeAutospacing="1" w:after="100" w:afterAutospacing="1" w:line="480" w:lineRule="auto"/>
        <w:ind w:firstLine="720"/>
        <w:contextualSpacing/>
        <w:jc w:val="left"/>
        <w:rPr>
          <w:rFonts w:eastAsia="Times New Roman"/>
          <w:color w:val="000000"/>
        </w:rPr>
      </w:pPr>
      <w:bookmarkStart w:id="2" w:name="_Hlk499564533"/>
      <w:r w:rsidRPr="00B26772">
        <w:rPr>
          <w:rFonts w:eastAsia="Times New Roman"/>
          <w:color w:val="000000"/>
        </w:rPr>
        <w:t>M</w:t>
      </w:r>
      <w:r w:rsidR="00CF4B60" w:rsidRPr="00B26772">
        <w:rPr>
          <w:rFonts w:eastAsia="Times New Roman"/>
          <w:color w:val="000000"/>
        </w:rPr>
        <w:t>ultiple-risk options are common in health-related decision making</w:t>
      </w:r>
      <w:r w:rsidRPr="00B26772">
        <w:rPr>
          <w:rFonts w:eastAsia="Times New Roman"/>
          <w:color w:val="000000"/>
        </w:rPr>
        <w:t xml:space="preserve"> and communications</w:t>
      </w:r>
      <w:r w:rsidR="00CF4B60" w:rsidRPr="00B26772">
        <w:rPr>
          <w:rFonts w:eastAsia="Times New Roman"/>
          <w:color w:val="000000"/>
        </w:rPr>
        <w:t xml:space="preserve">. Medications, immunizations, and medical treatments </w:t>
      </w:r>
      <w:r w:rsidR="00077A69" w:rsidRPr="00B26772">
        <w:rPr>
          <w:rFonts w:eastAsia="Times New Roman"/>
          <w:color w:val="000000"/>
        </w:rPr>
        <w:t>often</w:t>
      </w:r>
      <w:r w:rsidR="00CF4B60" w:rsidRPr="00B26772">
        <w:rPr>
          <w:rFonts w:eastAsia="Times New Roman"/>
          <w:color w:val="000000"/>
        </w:rPr>
        <w:t xml:space="preserve"> entail multiple risks or side-effects (Frederickson et al. 2004; Waters et al. 2006).</w:t>
      </w:r>
      <w:r w:rsidR="00CD4145" w:rsidRPr="00B26772">
        <w:rPr>
          <w:rFonts w:eastAsia="Times New Roman"/>
          <w:color w:val="000000"/>
        </w:rPr>
        <w:t xml:space="preserve"> </w:t>
      </w:r>
      <w:r w:rsidR="006C5C97">
        <w:rPr>
          <w:rFonts w:eastAsia="Times New Roman"/>
          <w:color w:val="000000"/>
        </w:rPr>
        <w:t>For example, t</w:t>
      </w:r>
      <w:r w:rsidR="00CF4B60" w:rsidRPr="00B26772">
        <w:rPr>
          <w:rFonts w:eastAsia="Times New Roman"/>
          <w:color w:val="000000"/>
        </w:rPr>
        <w:t>he Centers for Disease Control and Prevention (CDC)</w:t>
      </w:r>
      <w:r w:rsidR="00255860" w:rsidRPr="00B26772">
        <w:rPr>
          <w:rFonts w:eastAsia="Times New Roman"/>
          <w:color w:val="000000"/>
        </w:rPr>
        <w:t xml:space="preserve"> </w:t>
      </w:r>
      <w:r w:rsidR="00CF4B60" w:rsidRPr="00B26772">
        <w:rPr>
          <w:rFonts w:eastAsia="Times New Roman"/>
          <w:color w:val="000000"/>
        </w:rPr>
        <w:t>reports that the Measles, Mumps, and Rubella (MMR) vaccine has the following possible side-effects: fever (1 in 6), mild rash (1 in 20), swelling of glands in the cheeks or neck (1 in 75), seizure (1 in 3,000), temporary pain or stiffness in the joints (1 in 4), temporary low platelet count (1 in 30,000), serious allergic reaction (1 in 1 million), and other possible side-effects including deafness, long-term seizures, and permanent brain damage that are reported as too rare to know whether they are caused by the vaccine.</w:t>
      </w:r>
      <w:r w:rsidR="009D68C9" w:rsidRPr="00B26772">
        <w:rPr>
          <w:rFonts w:eastAsia="Times New Roman"/>
          <w:color w:val="000000"/>
        </w:rPr>
        <w:t xml:space="preserve"> </w:t>
      </w:r>
      <w:r w:rsidR="00456A94">
        <w:rPr>
          <w:rFonts w:eastAsia="Times New Roman"/>
          <w:color w:val="000000"/>
        </w:rPr>
        <w:t>Given the ubiquity of multiple-risk options, r</w:t>
      </w:r>
      <w:r w:rsidR="005A73ED" w:rsidRPr="00B26772">
        <w:rPr>
          <w:rFonts w:eastAsia="Times New Roman"/>
          <w:color w:val="000000"/>
        </w:rPr>
        <w:t xml:space="preserve">esearch is needed </w:t>
      </w:r>
      <w:r w:rsidR="006C5C97">
        <w:rPr>
          <w:rFonts w:eastAsia="Times New Roman"/>
          <w:color w:val="000000"/>
        </w:rPr>
        <w:t>on how</w:t>
      </w:r>
      <w:r w:rsidR="005A73ED" w:rsidRPr="00B26772">
        <w:rPr>
          <w:rFonts w:eastAsia="Times New Roman"/>
          <w:color w:val="000000"/>
        </w:rPr>
        <w:t xml:space="preserve"> pictographs affect consumer perception</w:t>
      </w:r>
      <w:r w:rsidR="006C5C97">
        <w:rPr>
          <w:rFonts w:eastAsia="Times New Roman"/>
          <w:color w:val="000000"/>
        </w:rPr>
        <w:t>s</w:t>
      </w:r>
      <w:r w:rsidR="005A73ED" w:rsidRPr="00B26772">
        <w:rPr>
          <w:rFonts w:eastAsia="Times New Roman"/>
          <w:color w:val="000000"/>
        </w:rPr>
        <w:t xml:space="preserve"> of multiple-risk options, in addition to single-risk options</w:t>
      </w:r>
      <w:r w:rsidR="00ED5B30">
        <w:rPr>
          <w:rFonts w:eastAsia="Times New Roman"/>
          <w:color w:val="000000"/>
        </w:rPr>
        <w:t>.</w:t>
      </w:r>
    </w:p>
    <w:p w14:paraId="3315D3DC" w14:textId="4CBFEEE8" w:rsidR="00456A94" w:rsidRPr="00456A94" w:rsidRDefault="00777D8F" w:rsidP="00456A94">
      <w:pPr>
        <w:spacing w:before="100" w:beforeAutospacing="1" w:after="100" w:afterAutospacing="1" w:line="480" w:lineRule="auto"/>
        <w:ind w:firstLine="720"/>
        <w:contextualSpacing/>
        <w:jc w:val="left"/>
        <w:rPr>
          <w:rFonts w:eastAsia="Times New Roman"/>
          <w:color w:val="000000"/>
        </w:rPr>
      </w:pPr>
      <w:r>
        <w:rPr>
          <w:rFonts w:eastAsia="Times New Roman"/>
          <w:color w:val="000000"/>
        </w:rPr>
        <w:t>Both s</w:t>
      </w:r>
      <w:r w:rsidR="005A73ED" w:rsidRPr="00B26772">
        <w:rPr>
          <w:rFonts w:eastAsia="Times New Roman"/>
          <w:color w:val="000000"/>
        </w:rPr>
        <w:t xml:space="preserve">ingle and </w:t>
      </w:r>
      <w:r w:rsidR="006C5C97">
        <w:rPr>
          <w:rFonts w:eastAsia="Times New Roman"/>
          <w:color w:val="000000"/>
        </w:rPr>
        <w:t>m</w:t>
      </w:r>
      <w:r w:rsidR="005A73ED" w:rsidRPr="00B26772">
        <w:rPr>
          <w:rFonts w:eastAsia="Times New Roman"/>
          <w:color w:val="000000"/>
        </w:rPr>
        <w:t xml:space="preserve">ultiple-risk options </w:t>
      </w:r>
      <w:r>
        <w:rPr>
          <w:rFonts w:eastAsia="Times New Roman"/>
          <w:color w:val="000000"/>
        </w:rPr>
        <w:t>involve</w:t>
      </w:r>
      <w:r w:rsidR="006C5C97">
        <w:rPr>
          <w:rFonts w:eastAsia="Times New Roman"/>
          <w:color w:val="000000"/>
        </w:rPr>
        <w:t xml:space="preserve"> risks (e.g. side-effects)</w:t>
      </w:r>
      <w:r>
        <w:rPr>
          <w:rFonts w:eastAsia="Times New Roman"/>
          <w:color w:val="000000"/>
        </w:rPr>
        <w:t xml:space="preserve">, and risks have </w:t>
      </w:r>
      <w:r w:rsidR="005A73ED" w:rsidRPr="00B26772">
        <w:rPr>
          <w:rFonts w:eastAsia="Times New Roman"/>
          <w:color w:val="000000"/>
        </w:rPr>
        <w:t>categorical (e.g. side-effect symptom) and incremental (side-effect probability)</w:t>
      </w:r>
      <w:r w:rsidR="006C5C97">
        <w:rPr>
          <w:rFonts w:eastAsia="Times New Roman"/>
          <w:color w:val="000000"/>
        </w:rPr>
        <w:t xml:space="preserve"> attributes</w:t>
      </w:r>
      <w:r w:rsidR="005A73ED" w:rsidRPr="00B26772">
        <w:rPr>
          <w:rFonts w:eastAsia="Times New Roman"/>
          <w:color w:val="000000"/>
        </w:rPr>
        <w:t>.</w:t>
      </w:r>
      <w:r w:rsidR="00456A94">
        <w:rPr>
          <w:rFonts w:eastAsia="Times New Roman"/>
          <w:color w:val="000000"/>
        </w:rPr>
        <w:t xml:space="preserve"> </w:t>
      </w:r>
      <w:r w:rsidR="00CD4145" w:rsidRPr="00B26772">
        <w:t xml:space="preserve">General evaluability theory describes how </w:t>
      </w:r>
      <w:r w:rsidR="00CA4607">
        <w:t>people</w:t>
      </w:r>
      <w:r w:rsidR="00E73A18" w:rsidRPr="00B26772">
        <w:t xml:space="preserve"> </w:t>
      </w:r>
      <w:r w:rsidR="00CD4145" w:rsidRPr="00B26772">
        <w:t xml:space="preserve">evaluate </w:t>
      </w:r>
      <w:r w:rsidR="00255860" w:rsidRPr="00B26772">
        <w:t xml:space="preserve">categorical </w:t>
      </w:r>
      <w:r>
        <w:t>versus</w:t>
      </w:r>
      <w:r w:rsidR="00255860" w:rsidRPr="00B26772">
        <w:t xml:space="preserve"> incremental attributes</w:t>
      </w:r>
      <w:r w:rsidR="00CD4145" w:rsidRPr="00B26772">
        <w:t xml:space="preserve"> </w:t>
      </w:r>
      <w:r w:rsidR="00CD4145" w:rsidRPr="00B26772">
        <w:rPr>
          <w:rFonts w:eastAsia="Times New Roman"/>
          <w:color w:val="000000"/>
        </w:rPr>
        <w:t>(Hsee 1996; Hsee and Zhang 2010)</w:t>
      </w:r>
      <w:r w:rsidR="00CD4145" w:rsidRPr="00B26772">
        <w:t xml:space="preserve">. </w:t>
      </w:r>
      <w:r w:rsidR="00456A94">
        <w:t>W</w:t>
      </w:r>
      <w:r w:rsidR="00456A94" w:rsidRPr="00B26772">
        <w:t xml:space="preserve">hen evaluating </w:t>
      </w:r>
      <w:r w:rsidR="00CA4607">
        <w:t xml:space="preserve">a </w:t>
      </w:r>
      <w:r w:rsidR="00456A94" w:rsidRPr="00B26772">
        <w:t xml:space="preserve">single-risk option, </w:t>
      </w:r>
      <w:r w:rsidR="00456A94">
        <w:t xml:space="preserve">which </w:t>
      </w:r>
      <w:r w:rsidR="00CA4607">
        <w:t>has</w:t>
      </w:r>
      <w:r w:rsidR="00456A94">
        <w:t xml:space="preserve"> one risk with</w:t>
      </w:r>
      <w:r w:rsidR="00456A94" w:rsidRPr="00B26772">
        <w:t xml:space="preserve"> one categorical and</w:t>
      </w:r>
      <w:r w:rsidR="00456A94">
        <w:t xml:space="preserve"> one</w:t>
      </w:r>
      <w:r w:rsidR="00456A94" w:rsidRPr="00B26772">
        <w:t xml:space="preserve"> incremental attribute, </w:t>
      </w:r>
      <w:r w:rsidR="00456A94">
        <w:t xml:space="preserve">the theory suggests that </w:t>
      </w:r>
      <w:r w:rsidR="00456A94" w:rsidRPr="00B26772">
        <w:t xml:space="preserve">consumers will attend more to the option’s categorical attribute and give less attention to the option’s </w:t>
      </w:r>
      <w:r w:rsidR="00456A94" w:rsidRPr="00B26772">
        <w:lastRenderedPageBreak/>
        <w:t xml:space="preserve">incremental attribute. </w:t>
      </w:r>
      <w:r w:rsidR="00456A94">
        <w:t xml:space="preserve">This bias in attention is thought to be the result of </w:t>
      </w:r>
      <w:r w:rsidR="00802886">
        <w:t xml:space="preserve">categorical </w:t>
      </w:r>
      <w:r w:rsidR="00456A94" w:rsidRPr="00B26772">
        <w:t xml:space="preserve">attributes </w:t>
      </w:r>
      <w:r w:rsidR="00456A94">
        <w:t xml:space="preserve">being </w:t>
      </w:r>
      <w:r w:rsidR="00802886">
        <w:t>easier</w:t>
      </w:r>
      <w:r w:rsidR="00456A94" w:rsidRPr="00B26772">
        <w:t xml:space="preserve"> to evaluate in isolation than </w:t>
      </w:r>
      <w:r w:rsidR="00802886">
        <w:t>incremental</w:t>
      </w:r>
      <w:r w:rsidR="00456A94" w:rsidRPr="00B26772">
        <w:t xml:space="preserve"> attributes (Hsee</w:t>
      </w:r>
      <w:r w:rsidR="00CA4607">
        <w:t xml:space="preserve"> et al. </w:t>
      </w:r>
      <w:r w:rsidR="00456A94" w:rsidRPr="00B26772">
        <w:t>1999).</w:t>
      </w:r>
      <w:r w:rsidR="00456A94">
        <w:t xml:space="preserve"> As a result,</w:t>
      </w:r>
      <w:r w:rsidR="00456A94" w:rsidRPr="00B26772">
        <w:t xml:space="preserve"> when evaluating a </w:t>
      </w:r>
      <w:r w:rsidR="00456A94">
        <w:t>single-risk option</w:t>
      </w:r>
      <w:r w:rsidR="00802886">
        <w:t xml:space="preserve">, </w:t>
      </w:r>
      <w:r w:rsidR="00456A94">
        <w:t xml:space="preserve">such as a </w:t>
      </w:r>
      <w:r w:rsidR="00456A94" w:rsidRPr="00B26772">
        <w:t>vaccine with only one side-effect, the theory</w:t>
      </w:r>
      <w:r w:rsidR="00456A94">
        <w:t xml:space="preserve"> </w:t>
      </w:r>
      <w:r w:rsidR="00456A94" w:rsidRPr="00B26772">
        <w:t>suggests that greater attention will be given to the side-effect symptom (e.g. fever) than its probability of occurrence (e.g. 1 in 5).</w:t>
      </w:r>
    </w:p>
    <w:p w14:paraId="37959F4D" w14:textId="6529003F" w:rsidR="00655078" w:rsidRPr="00B26772" w:rsidRDefault="00DA7784" w:rsidP="00456A94">
      <w:pPr>
        <w:spacing w:before="100" w:beforeAutospacing="1" w:after="100" w:afterAutospacing="1" w:line="480" w:lineRule="auto"/>
        <w:ind w:firstLine="720"/>
        <w:contextualSpacing/>
        <w:jc w:val="left"/>
      </w:pPr>
      <w:r w:rsidRPr="00B26772">
        <w:t xml:space="preserve">On the other hand, </w:t>
      </w:r>
      <w:r w:rsidR="00CD4145" w:rsidRPr="00B26772">
        <w:t xml:space="preserve">incremental (vs. categorical) attributes become easier to evaluate when </w:t>
      </w:r>
      <w:r w:rsidRPr="00B26772">
        <w:t>presented with</w:t>
      </w:r>
      <w:r w:rsidR="00CD4145" w:rsidRPr="00B26772">
        <w:t xml:space="preserve"> other incremental attributes</w:t>
      </w:r>
      <w:r w:rsidR="00777D8F">
        <w:t xml:space="preserve"> </w:t>
      </w:r>
      <w:r w:rsidR="00777D8F" w:rsidRPr="00B26772">
        <w:t>(Hsee</w:t>
      </w:r>
      <w:r w:rsidR="00CA4607">
        <w:t xml:space="preserve"> et al.</w:t>
      </w:r>
      <w:r w:rsidR="00777D8F" w:rsidRPr="00B26772">
        <w:t xml:space="preserve"> 1999</w:t>
      </w:r>
      <w:r w:rsidR="00777D8F">
        <w:t>)</w:t>
      </w:r>
      <w:r w:rsidR="003B0888" w:rsidRPr="00B26772">
        <w:t xml:space="preserve">. </w:t>
      </w:r>
      <w:r w:rsidR="00CD4145" w:rsidRPr="00B26772">
        <w:t xml:space="preserve">As a result, </w:t>
      </w:r>
      <w:r w:rsidR="003B0888" w:rsidRPr="00B26772">
        <w:t xml:space="preserve">when evaluating a multiple-risk option, </w:t>
      </w:r>
      <w:r w:rsidR="00CA4607">
        <w:t>having</w:t>
      </w:r>
      <w:r w:rsidR="003B0888" w:rsidRPr="00B26772">
        <w:t xml:space="preserve"> multiple categorical and incremental attributes, consumers will attend more</w:t>
      </w:r>
      <w:r w:rsidR="00775172">
        <w:t xml:space="preserve"> to</w:t>
      </w:r>
      <w:r w:rsidR="003B0888" w:rsidRPr="00B26772">
        <w:t xml:space="preserve"> the option’s incremental attributes and give less attention to the option’s categorical attributes</w:t>
      </w:r>
      <w:r w:rsidR="0006479A" w:rsidRPr="00B26772">
        <w:t xml:space="preserve"> (Zikmund-Fisher, Fagerlin, and Ubel 2004)</w:t>
      </w:r>
      <w:r w:rsidR="003B0888" w:rsidRPr="00B26772">
        <w:t xml:space="preserve">. For example, when evaluating a vaccine with multiple side-effects, the theory suggests that greater attention will be given to the side-effect probabilities (e.g. </w:t>
      </w:r>
      <w:r w:rsidR="00802886">
        <w:t xml:space="preserve">1 </w:t>
      </w:r>
      <w:r w:rsidR="003B0888" w:rsidRPr="00B26772">
        <w:t xml:space="preserve">in 5, 1 in 10, 1 in 20) than their corresponding symptoms (e.g. fever, poor appetite, vomiting). </w:t>
      </w:r>
    </w:p>
    <w:p w14:paraId="30858ADF" w14:textId="44BCB89D" w:rsidR="00D773F6" w:rsidRPr="00B26772" w:rsidRDefault="004804F2" w:rsidP="00775172">
      <w:pPr>
        <w:spacing w:line="480" w:lineRule="auto"/>
        <w:ind w:firstLine="720"/>
        <w:contextualSpacing/>
        <w:jc w:val="left"/>
      </w:pPr>
      <w:r>
        <w:t>If</w:t>
      </w:r>
      <w:r w:rsidR="003B0888" w:rsidRPr="00B26772">
        <w:t xml:space="preserve"> consumers give greater attention to incremental (vs. categorical) attributes in the case of multiple (vs. single) risk options</w:t>
      </w:r>
      <w:r w:rsidR="0006479A" w:rsidRPr="00B26772">
        <w:t xml:space="preserve"> (</w:t>
      </w:r>
      <w:r w:rsidR="0006479A" w:rsidRPr="00B26772">
        <w:rPr>
          <w:rFonts w:eastAsia="Times New Roman"/>
          <w:color w:val="000000"/>
        </w:rPr>
        <w:t>Hsee and Zhang 2010)</w:t>
      </w:r>
      <w:r w:rsidR="003B0888" w:rsidRPr="00B26772">
        <w:t xml:space="preserve">, then pictographs should prove especially </w:t>
      </w:r>
      <w:r w:rsidR="0006479A" w:rsidRPr="00B26772">
        <w:t>influential on consumer perceptions of multiple (vs. single) risk options.</w:t>
      </w:r>
      <w:r w:rsidR="00655078" w:rsidRPr="00B26772">
        <w:t xml:space="preserve"> </w:t>
      </w:r>
      <w:r w:rsidR="000B55F6" w:rsidRPr="00B26772">
        <w:t>Previous research provides insight on how pictographs may influence consumer perception (</w:t>
      </w:r>
      <w:r w:rsidR="000B55F6" w:rsidRPr="00B26772">
        <w:rPr>
          <w:rFonts w:eastAsia="Times New Roman"/>
          <w:color w:val="000000"/>
        </w:rPr>
        <w:t>Ancker et al. 2006)</w:t>
      </w:r>
      <w:r w:rsidR="000B55F6" w:rsidRPr="00B26772">
        <w:t xml:space="preserve">. </w:t>
      </w:r>
      <w:bookmarkStart w:id="3" w:name="_Hlk499905584"/>
      <w:r w:rsidR="00D773F6" w:rsidRPr="004A2AAF">
        <w:rPr>
          <w:rFonts w:eastAsia="Times New Roman"/>
          <w:color w:val="000000"/>
        </w:rPr>
        <w:t xml:space="preserve">Garcia-Retamero and Galesic (2009) found that comprehension of a drug’s ability to reduce the risk of heart attack increased when the probability of experiencing a heart attack, while taking the drug, was displayed using pictographs. </w:t>
      </w:r>
      <w:r w:rsidR="00802886" w:rsidRPr="004A2AAF">
        <w:rPr>
          <w:rFonts w:eastAsia="Times New Roman"/>
          <w:color w:val="000000"/>
        </w:rPr>
        <w:t xml:space="preserve">Similarly, </w:t>
      </w:r>
      <w:r w:rsidR="00D773F6" w:rsidRPr="004A2AAF">
        <w:rPr>
          <w:rFonts w:eastAsia="Times New Roman"/>
          <w:color w:val="000000"/>
        </w:rPr>
        <w:t>Petrova, Garcia</w:t>
      </w:r>
      <w:r w:rsidR="00D773F6" w:rsidRPr="00B26772">
        <w:rPr>
          <w:rFonts w:eastAsia="Times New Roman"/>
          <w:color w:val="000000"/>
        </w:rPr>
        <w:t>-Retamero and Cokely (2015) found that comprehension of breast and prostate cancer screenings</w:t>
      </w:r>
      <w:r w:rsidR="00D245D8" w:rsidRPr="00B26772">
        <w:rPr>
          <w:rFonts w:eastAsia="Times New Roman"/>
          <w:color w:val="000000"/>
        </w:rPr>
        <w:t>’</w:t>
      </w:r>
      <w:r w:rsidR="00D773F6" w:rsidRPr="00B26772">
        <w:rPr>
          <w:rFonts w:eastAsia="Times New Roman"/>
          <w:color w:val="000000"/>
        </w:rPr>
        <w:t xml:space="preserve"> ability to save lives through early detection increased when pictographs were used to represent the probability of dying from breast or prostate cancer with </w:t>
      </w:r>
      <w:r w:rsidR="00802886">
        <w:rPr>
          <w:rFonts w:eastAsia="Times New Roman"/>
          <w:color w:val="000000"/>
        </w:rPr>
        <w:t>versus</w:t>
      </w:r>
      <w:r w:rsidR="00D773F6" w:rsidRPr="00B26772">
        <w:rPr>
          <w:rFonts w:eastAsia="Times New Roman"/>
          <w:color w:val="000000"/>
        </w:rPr>
        <w:t xml:space="preserve"> without the screenings. </w:t>
      </w:r>
      <w:bookmarkEnd w:id="3"/>
    </w:p>
    <w:p w14:paraId="70FD1D1D" w14:textId="635DC007" w:rsidR="00030586" w:rsidRPr="00B26772" w:rsidRDefault="00D773F6" w:rsidP="008D56CE">
      <w:pPr>
        <w:spacing w:after="160" w:line="480" w:lineRule="auto"/>
        <w:ind w:firstLine="720"/>
        <w:contextualSpacing/>
        <w:jc w:val="left"/>
        <w:rPr>
          <w:rFonts w:eastAsia="Times New Roman"/>
          <w:color w:val="000000"/>
        </w:rPr>
      </w:pPr>
      <w:r w:rsidRPr="00B26772">
        <w:rPr>
          <w:rFonts w:eastAsia="Times New Roman"/>
          <w:color w:val="000000"/>
        </w:rPr>
        <w:lastRenderedPageBreak/>
        <w:t xml:space="preserve">Pictographs have also been found to decrease risk perception because of lessening denominator neglect (Ancker et al. 2006). Denominator neglect refers to a behavioral bias in which </w:t>
      </w:r>
      <w:r w:rsidR="00655078" w:rsidRPr="00B26772">
        <w:rPr>
          <w:rFonts w:eastAsia="Times New Roman"/>
          <w:color w:val="000000"/>
        </w:rPr>
        <w:t>decision makers</w:t>
      </w:r>
      <w:r w:rsidRPr="00B26772">
        <w:rPr>
          <w:rFonts w:eastAsia="Times New Roman"/>
          <w:color w:val="000000"/>
        </w:rPr>
        <w:t xml:space="preserve"> </w:t>
      </w:r>
      <w:r w:rsidR="00802886">
        <w:rPr>
          <w:rFonts w:eastAsia="Times New Roman"/>
          <w:color w:val="000000"/>
        </w:rPr>
        <w:t>focus</w:t>
      </w:r>
      <w:r w:rsidRPr="00B26772">
        <w:rPr>
          <w:rFonts w:eastAsia="Times New Roman"/>
          <w:color w:val="000000"/>
        </w:rPr>
        <w:t xml:space="preserve"> </w:t>
      </w:r>
      <w:r w:rsidR="00ED5B30">
        <w:rPr>
          <w:rFonts w:eastAsia="Times New Roman"/>
          <w:color w:val="000000"/>
        </w:rPr>
        <w:t xml:space="preserve">on </w:t>
      </w:r>
      <w:r w:rsidRPr="00B26772">
        <w:rPr>
          <w:rFonts w:eastAsia="Times New Roman"/>
          <w:color w:val="000000"/>
        </w:rPr>
        <w:t xml:space="preserve">the value of a </w:t>
      </w:r>
      <w:r w:rsidR="0029254A">
        <w:rPr>
          <w:rFonts w:eastAsia="Times New Roman"/>
          <w:color w:val="000000"/>
        </w:rPr>
        <w:t>probability</w:t>
      </w:r>
      <w:r w:rsidRPr="00B26772">
        <w:rPr>
          <w:rFonts w:eastAsia="Times New Roman"/>
          <w:color w:val="000000"/>
        </w:rPr>
        <w:t xml:space="preserve"> ratio’s numerator at the expense of its denominator (Denes-Raj</w:t>
      </w:r>
      <w:r w:rsidR="00312076">
        <w:rPr>
          <w:rFonts w:eastAsia="Times New Roman"/>
          <w:color w:val="000000"/>
        </w:rPr>
        <w:t xml:space="preserve">, Epstein, and Cole </w:t>
      </w:r>
      <w:r w:rsidRPr="00B26772">
        <w:rPr>
          <w:rFonts w:eastAsia="Times New Roman"/>
          <w:color w:val="000000"/>
        </w:rPr>
        <w:t xml:space="preserve">1995). Pictographs lessen this </w:t>
      </w:r>
      <w:r w:rsidR="00802886">
        <w:rPr>
          <w:rFonts w:eastAsia="Times New Roman"/>
          <w:color w:val="000000"/>
        </w:rPr>
        <w:t xml:space="preserve">attentional </w:t>
      </w:r>
      <w:r w:rsidRPr="00B26772">
        <w:rPr>
          <w:rFonts w:eastAsia="Times New Roman"/>
          <w:color w:val="000000"/>
        </w:rPr>
        <w:t xml:space="preserve">bias by </w:t>
      </w:r>
      <w:r w:rsidR="00802886">
        <w:rPr>
          <w:rFonts w:eastAsia="Times New Roman"/>
          <w:color w:val="000000"/>
        </w:rPr>
        <w:t>increasing the saliency of the</w:t>
      </w:r>
      <w:r w:rsidRPr="00B26772">
        <w:rPr>
          <w:rFonts w:eastAsia="Times New Roman"/>
          <w:color w:val="000000"/>
        </w:rPr>
        <w:t xml:space="preserve"> denominator of a </w:t>
      </w:r>
      <w:r w:rsidR="0029254A">
        <w:rPr>
          <w:rFonts w:eastAsia="Times New Roman"/>
          <w:color w:val="000000"/>
        </w:rPr>
        <w:t xml:space="preserve">probability </w:t>
      </w:r>
      <w:r w:rsidRPr="00B26772">
        <w:rPr>
          <w:rFonts w:eastAsia="Times New Roman"/>
          <w:color w:val="000000"/>
        </w:rPr>
        <w:t>ratio (Garcia-Retamero, Galesic, and Gigerenzer 2010). When the denominator</w:t>
      </w:r>
      <w:r w:rsidR="00D245D8" w:rsidRPr="00B26772">
        <w:rPr>
          <w:rFonts w:eastAsia="Times New Roman"/>
          <w:color w:val="000000"/>
        </w:rPr>
        <w:t xml:space="preserve"> of a </w:t>
      </w:r>
      <w:r w:rsidR="0029254A">
        <w:rPr>
          <w:rFonts w:eastAsia="Times New Roman"/>
          <w:color w:val="000000"/>
        </w:rPr>
        <w:t xml:space="preserve">probability </w:t>
      </w:r>
      <w:r w:rsidR="00D245D8" w:rsidRPr="00B26772">
        <w:rPr>
          <w:rFonts w:eastAsia="Times New Roman"/>
          <w:color w:val="000000"/>
        </w:rPr>
        <w:t>ratio</w:t>
      </w:r>
      <w:r w:rsidRPr="00B26772">
        <w:rPr>
          <w:rFonts w:eastAsia="Times New Roman"/>
          <w:color w:val="000000"/>
        </w:rPr>
        <w:t xml:space="preserve"> is more salient, </w:t>
      </w:r>
      <w:r w:rsidR="00196278">
        <w:rPr>
          <w:rFonts w:eastAsia="Times New Roman"/>
          <w:color w:val="000000"/>
        </w:rPr>
        <w:t xml:space="preserve">more </w:t>
      </w:r>
      <w:r w:rsidR="00655078" w:rsidRPr="00B26772">
        <w:rPr>
          <w:rFonts w:eastAsia="Times New Roman"/>
          <w:color w:val="000000"/>
        </w:rPr>
        <w:t>attention is given to the denominator</w:t>
      </w:r>
      <w:r w:rsidR="00D245D8" w:rsidRPr="00B26772">
        <w:rPr>
          <w:rFonts w:eastAsia="Times New Roman"/>
          <w:color w:val="000000"/>
        </w:rPr>
        <w:t xml:space="preserve"> </w:t>
      </w:r>
      <w:r w:rsidR="00655078" w:rsidRPr="00B26772">
        <w:rPr>
          <w:rFonts w:eastAsia="Times New Roman"/>
          <w:color w:val="000000"/>
        </w:rPr>
        <w:t xml:space="preserve">(e.g. </w:t>
      </w:r>
      <w:r w:rsidR="00A06F8D">
        <w:rPr>
          <w:rFonts w:eastAsia="Times New Roman"/>
          <w:color w:val="000000"/>
        </w:rPr>
        <w:t xml:space="preserve">the </w:t>
      </w:r>
      <w:r w:rsidR="00655078" w:rsidRPr="00B26772">
        <w:rPr>
          <w:rFonts w:eastAsia="Times New Roman"/>
          <w:color w:val="000000"/>
        </w:rPr>
        <w:t>number</w:t>
      </w:r>
      <w:r w:rsidR="00030586" w:rsidRPr="00B26772">
        <w:rPr>
          <w:rFonts w:eastAsia="Times New Roman"/>
          <w:color w:val="000000"/>
        </w:rPr>
        <w:t xml:space="preserve"> of people</w:t>
      </w:r>
      <w:r w:rsidR="00655078" w:rsidRPr="00B26772">
        <w:rPr>
          <w:rFonts w:eastAsia="Times New Roman"/>
          <w:color w:val="000000"/>
        </w:rPr>
        <w:t xml:space="preserve"> treated) and less attention is given to the numerator (e.g. </w:t>
      </w:r>
      <w:r w:rsidR="00A06F8D">
        <w:rPr>
          <w:rFonts w:eastAsia="Times New Roman"/>
          <w:color w:val="000000"/>
        </w:rPr>
        <w:t xml:space="preserve">the </w:t>
      </w:r>
      <w:r w:rsidR="00655078" w:rsidRPr="00B26772">
        <w:rPr>
          <w:rFonts w:eastAsia="Times New Roman"/>
          <w:color w:val="000000"/>
        </w:rPr>
        <w:t>number</w:t>
      </w:r>
      <w:r w:rsidR="00D245D8" w:rsidRPr="00B26772">
        <w:rPr>
          <w:rFonts w:eastAsia="Times New Roman"/>
          <w:color w:val="000000"/>
        </w:rPr>
        <w:t xml:space="preserve"> </w:t>
      </w:r>
      <w:r w:rsidR="00030586" w:rsidRPr="00B26772">
        <w:rPr>
          <w:rFonts w:eastAsia="Times New Roman"/>
          <w:color w:val="000000"/>
        </w:rPr>
        <w:t xml:space="preserve">of people </w:t>
      </w:r>
      <w:r w:rsidR="00196278">
        <w:rPr>
          <w:rFonts w:eastAsia="Times New Roman"/>
          <w:color w:val="000000"/>
        </w:rPr>
        <w:t>having</w:t>
      </w:r>
      <w:r w:rsidR="00655078" w:rsidRPr="00B26772">
        <w:rPr>
          <w:rFonts w:eastAsia="Times New Roman"/>
          <w:color w:val="000000"/>
        </w:rPr>
        <w:t xml:space="preserve"> a side-effect</w:t>
      </w:r>
      <w:r w:rsidR="0029254A">
        <w:rPr>
          <w:rFonts w:eastAsia="Times New Roman"/>
          <w:color w:val="000000"/>
        </w:rPr>
        <w:t xml:space="preserve">; </w:t>
      </w:r>
      <w:r w:rsidRPr="00B26772">
        <w:rPr>
          <w:rFonts w:eastAsia="Times New Roman"/>
          <w:color w:val="000000"/>
        </w:rPr>
        <w:t xml:space="preserve">Stone et al. 2003). </w:t>
      </w:r>
      <w:r w:rsidR="00D245D8" w:rsidRPr="00B26772">
        <w:rPr>
          <w:rFonts w:eastAsia="Times New Roman"/>
          <w:color w:val="000000"/>
        </w:rPr>
        <w:t xml:space="preserve">Greater attention to the denominator (vs. numerator) of </w:t>
      </w:r>
      <w:r w:rsidR="00030586" w:rsidRPr="00B26772">
        <w:rPr>
          <w:rFonts w:eastAsia="Times New Roman"/>
          <w:color w:val="000000"/>
        </w:rPr>
        <w:t xml:space="preserve">a </w:t>
      </w:r>
      <w:r w:rsidR="0029254A">
        <w:rPr>
          <w:rFonts w:eastAsia="Times New Roman"/>
          <w:color w:val="000000"/>
        </w:rPr>
        <w:t>probability</w:t>
      </w:r>
      <w:r w:rsidR="00D245D8" w:rsidRPr="00B26772">
        <w:rPr>
          <w:rFonts w:eastAsia="Times New Roman"/>
          <w:color w:val="000000"/>
        </w:rPr>
        <w:t xml:space="preserve"> ratio </w:t>
      </w:r>
      <w:r w:rsidR="00ED5B30">
        <w:rPr>
          <w:rFonts w:eastAsia="Times New Roman"/>
          <w:color w:val="000000"/>
        </w:rPr>
        <w:t>may lower</w:t>
      </w:r>
      <w:r w:rsidR="00030586" w:rsidRPr="00B26772">
        <w:rPr>
          <w:rFonts w:eastAsia="Times New Roman"/>
          <w:color w:val="000000"/>
        </w:rPr>
        <w:t xml:space="preserve"> risk perception by increasing </w:t>
      </w:r>
      <w:r w:rsidR="00196278">
        <w:rPr>
          <w:rFonts w:eastAsia="Times New Roman"/>
          <w:color w:val="000000"/>
        </w:rPr>
        <w:t>consumers’</w:t>
      </w:r>
      <w:r w:rsidR="00030586" w:rsidRPr="00B26772">
        <w:rPr>
          <w:rFonts w:eastAsia="Times New Roman"/>
          <w:color w:val="000000"/>
        </w:rPr>
        <w:t xml:space="preserve"> focus on the number of instances in which a negative event did not occur (e.g. </w:t>
      </w:r>
      <w:r w:rsidR="0029254A">
        <w:rPr>
          <w:rFonts w:eastAsia="Times New Roman"/>
          <w:color w:val="000000"/>
        </w:rPr>
        <w:t xml:space="preserve">the </w:t>
      </w:r>
      <w:r w:rsidR="00030586" w:rsidRPr="00B26772">
        <w:rPr>
          <w:rFonts w:eastAsia="Times New Roman"/>
          <w:color w:val="000000"/>
        </w:rPr>
        <w:t xml:space="preserve">number of people </w:t>
      </w:r>
      <w:r w:rsidR="00196278">
        <w:rPr>
          <w:rFonts w:eastAsia="Times New Roman"/>
          <w:color w:val="000000"/>
        </w:rPr>
        <w:t>not having</w:t>
      </w:r>
      <w:r w:rsidR="00030586" w:rsidRPr="00B26772">
        <w:rPr>
          <w:rFonts w:eastAsia="Times New Roman"/>
          <w:color w:val="000000"/>
        </w:rPr>
        <w:t xml:space="preserve"> a side-effect; Garcia-Retamero, Galesic, and Gigerenzer 2010)</w:t>
      </w:r>
      <w:r w:rsidR="00D77BCA" w:rsidRPr="00B26772">
        <w:rPr>
          <w:rFonts w:eastAsia="Times New Roman"/>
          <w:color w:val="000000"/>
        </w:rPr>
        <w:t xml:space="preserve">. </w:t>
      </w:r>
    </w:p>
    <w:p w14:paraId="137F2866" w14:textId="78BBA4C6" w:rsidR="0044702F" w:rsidRPr="00B26772" w:rsidRDefault="0044702F" w:rsidP="008B13CC">
      <w:pPr>
        <w:spacing w:before="100" w:beforeAutospacing="1" w:after="100" w:afterAutospacing="1" w:line="480" w:lineRule="auto"/>
        <w:ind w:firstLine="720"/>
        <w:contextualSpacing/>
        <w:jc w:val="left"/>
        <w:rPr>
          <w:rFonts w:eastAsia="Times New Roman"/>
          <w:color w:val="000000"/>
        </w:rPr>
      </w:pPr>
      <w:r w:rsidRPr="00B26772">
        <w:rPr>
          <w:rFonts w:eastAsia="Times New Roman"/>
          <w:color w:val="000000"/>
        </w:rPr>
        <w:t xml:space="preserve">Such research suggests that pictographs </w:t>
      </w:r>
      <w:r w:rsidR="00196278">
        <w:rPr>
          <w:rFonts w:eastAsia="Times New Roman"/>
          <w:color w:val="000000"/>
        </w:rPr>
        <w:t xml:space="preserve">may </w:t>
      </w:r>
      <w:r w:rsidRPr="00B26772">
        <w:rPr>
          <w:rFonts w:eastAsia="Times New Roman"/>
          <w:color w:val="000000"/>
        </w:rPr>
        <w:t>increase probability comprehension and l</w:t>
      </w:r>
      <w:r w:rsidR="00196278">
        <w:rPr>
          <w:rFonts w:eastAsia="Times New Roman"/>
          <w:color w:val="000000"/>
        </w:rPr>
        <w:t xml:space="preserve">ower </w:t>
      </w:r>
      <w:r w:rsidRPr="00B26772">
        <w:rPr>
          <w:rFonts w:eastAsia="Times New Roman"/>
          <w:color w:val="000000"/>
        </w:rPr>
        <w:t>risk perception</w:t>
      </w:r>
      <w:r w:rsidR="00196278">
        <w:rPr>
          <w:rFonts w:eastAsia="Times New Roman"/>
          <w:color w:val="000000"/>
        </w:rPr>
        <w:t xml:space="preserve">. </w:t>
      </w:r>
      <w:r w:rsidR="008B13CC">
        <w:rPr>
          <w:rFonts w:eastAsia="Times New Roman"/>
          <w:color w:val="000000"/>
        </w:rPr>
        <w:t>However, for pictographs to have such effects, consumers must focus on an option’s incremental (vs. categorical) attribute</w:t>
      </w:r>
      <w:r w:rsidR="00A06F8D">
        <w:rPr>
          <w:rFonts w:eastAsia="Times New Roman"/>
          <w:color w:val="000000"/>
        </w:rPr>
        <w:t>(s)</w:t>
      </w:r>
      <w:r w:rsidR="008B13CC">
        <w:rPr>
          <w:rFonts w:eastAsia="Times New Roman"/>
          <w:color w:val="000000"/>
        </w:rPr>
        <w:t>. G</w:t>
      </w:r>
      <w:r w:rsidRPr="00B26772">
        <w:rPr>
          <w:rFonts w:eastAsia="Times New Roman"/>
          <w:color w:val="000000"/>
        </w:rPr>
        <w:t>eneral evaluability theory (Hsee and Zhang 2010)</w:t>
      </w:r>
      <w:r w:rsidR="008B13CC">
        <w:rPr>
          <w:rFonts w:eastAsia="Times New Roman"/>
          <w:color w:val="000000"/>
        </w:rPr>
        <w:t xml:space="preserve"> suggests that consumers are more likely to focus on incremental attributes when several incremental attributes are presented together, as is the case with multiple-risk options. On the other hand, the theory suggests that consumers are less likely to focus on incremental attributes when incremental attributes are presented in isolation, as is the case with single-risk options. As a result, </w:t>
      </w:r>
      <w:r w:rsidRPr="00B26772">
        <w:rPr>
          <w:rFonts w:eastAsia="Times New Roman"/>
          <w:color w:val="000000"/>
        </w:rPr>
        <w:t>pictographs should increase probability comprehension and lessen risk perception for multiple-risk option</w:t>
      </w:r>
      <w:r w:rsidR="008B13CC">
        <w:rPr>
          <w:rFonts w:eastAsia="Times New Roman"/>
          <w:color w:val="000000"/>
        </w:rPr>
        <w:t>s</w:t>
      </w:r>
      <w:r w:rsidR="00A65D55">
        <w:rPr>
          <w:rFonts w:eastAsia="Times New Roman"/>
          <w:color w:val="000000"/>
        </w:rPr>
        <w:t xml:space="preserve">; however, such effects are not expected for single-risk options. </w:t>
      </w:r>
      <w:r w:rsidRPr="00B26772">
        <w:rPr>
          <w:rFonts w:eastAsia="Times New Roman"/>
          <w:color w:val="000000"/>
        </w:rPr>
        <w:t>This discussion supports an empirical test of the following hypotheses:</w:t>
      </w:r>
    </w:p>
    <w:p w14:paraId="5DE0D6DF" w14:textId="00A5A675" w:rsidR="00655078" w:rsidRPr="00B26772" w:rsidRDefault="00655078" w:rsidP="00655078">
      <w:pPr>
        <w:spacing w:before="100" w:beforeAutospacing="1" w:after="100" w:afterAutospacing="1" w:line="480" w:lineRule="auto"/>
        <w:ind w:left="720"/>
        <w:contextualSpacing/>
        <w:jc w:val="left"/>
        <w:rPr>
          <w:rFonts w:eastAsia="Times New Roman"/>
          <w:color w:val="000000"/>
        </w:rPr>
      </w:pPr>
      <w:r w:rsidRPr="00B26772">
        <w:rPr>
          <w:rFonts w:eastAsia="Times New Roman"/>
          <w:color w:val="000000"/>
        </w:rPr>
        <w:lastRenderedPageBreak/>
        <w:t>H1. The presence (vs. absence) of pictographs</w:t>
      </w:r>
      <w:r w:rsidR="00196278">
        <w:rPr>
          <w:rFonts w:eastAsia="Times New Roman"/>
          <w:color w:val="000000"/>
        </w:rPr>
        <w:t>,</w:t>
      </w:r>
      <w:r w:rsidRPr="00B26772">
        <w:rPr>
          <w:rFonts w:eastAsia="Times New Roman"/>
          <w:color w:val="000000"/>
        </w:rPr>
        <w:t xml:space="preserve"> alongside numeric probability information</w:t>
      </w:r>
      <w:r w:rsidR="00196278">
        <w:rPr>
          <w:rFonts w:eastAsia="Times New Roman"/>
          <w:color w:val="000000"/>
        </w:rPr>
        <w:t>,</w:t>
      </w:r>
      <w:r w:rsidRPr="00B26772">
        <w:rPr>
          <w:rFonts w:eastAsia="Times New Roman"/>
          <w:color w:val="000000"/>
        </w:rPr>
        <w:t xml:space="preserve"> will increase probability comprehension for multiple-risk options but not for single-risk options.</w:t>
      </w:r>
    </w:p>
    <w:p w14:paraId="15A00F38" w14:textId="6F719288" w:rsidR="00655078" w:rsidRPr="00B26772" w:rsidRDefault="00655078" w:rsidP="00655078">
      <w:pPr>
        <w:spacing w:before="100" w:beforeAutospacing="1" w:after="100" w:afterAutospacing="1" w:line="480" w:lineRule="auto"/>
        <w:ind w:left="720"/>
        <w:contextualSpacing/>
        <w:jc w:val="left"/>
        <w:rPr>
          <w:rFonts w:eastAsia="Times New Roman"/>
          <w:color w:val="000000"/>
        </w:rPr>
      </w:pPr>
      <w:r w:rsidRPr="00B26772">
        <w:rPr>
          <w:rFonts w:eastAsia="Times New Roman"/>
          <w:color w:val="000000"/>
        </w:rPr>
        <w:t>H2. The presence (vs. absence) of pictographs</w:t>
      </w:r>
      <w:r w:rsidR="00196278">
        <w:rPr>
          <w:rFonts w:eastAsia="Times New Roman"/>
          <w:color w:val="000000"/>
        </w:rPr>
        <w:t>,</w:t>
      </w:r>
      <w:r w:rsidRPr="00B26772">
        <w:rPr>
          <w:rFonts w:eastAsia="Times New Roman"/>
          <w:color w:val="000000"/>
        </w:rPr>
        <w:t xml:space="preserve"> alongside numeric probability information</w:t>
      </w:r>
      <w:r w:rsidR="00196278">
        <w:rPr>
          <w:rFonts w:eastAsia="Times New Roman"/>
          <w:color w:val="000000"/>
        </w:rPr>
        <w:t>,</w:t>
      </w:r>
      <w:r w:rsidRPr="00B26772">
        <w:rPr>
          <w:rFonts w:eastAsia="Times New Roman"/>
          <w:color w:val="000000"/>
        </w:rPr>
        <w:t xml:space="preserve"> will l</w:t>
      </w:r>
      <w:r w:rsidR="00A65D55">
        <w:rPr>
          <w:rFonts w:eastAsia="Times New Roman"/>
          <w:color w:val="000000"/>
        </w:rPr>
        <w:t>ower</w:t>
      </w:r>
      <w:r w:rsidRPr="00B26772">
        <w:rPr>
          <w:rFonts w:eastAsia="Times New Roman"/>
          <w:color w:val="000000"/>
        </w:rPr>
        <w:t xml:space="preserve"> risk perception for multiple-risk options but not for single-risk options.</w:t>
      </w:r>
    </w:p>
    <w:bookmarkEnd w:id="2"/>
    <w:p w14:paraId="0E43B25E" w14:textId="5DFEDCD2" w:rsidR="00CF4B60" w:rsidRPr="00B26772" w:rsidRDefault="00CF4B60" w:rsidP="00CD4145">
      <w:pPr>
        <w:spacing w:before="100" w:beforeAutospacing="1" w:after="100" w:afterAutospacing="1" w:line="480" w:lineRule="auto"/>
        <w:contextualSpacing/>
        <w:jc w:val="center"/>
        <w:rPr>
          <w:rFonts w:eastAsia="Times New Roman"/>
          <w:color w:val="000000"/>
        </w:rPr>
      </w:pPr>
      <w:r w:rsidRPr="00B26772">
        <w:rPr>
          <w:rFonts w:eastAsia="Times New Roman"/>
          <w:color w:val="000000"/>
        </w:rPr>
        <w:t>EXPERIMENT</w:t>
      </w:r>
    </w:p>
    <w:p w14:paraId="561E8575" w14:textId="2AE220AB" w:rsidR="00CF4B60" w:rsidRPr="00B26772" w:rsidRDefault="00CD4145" w:rsidP="002908C7">
      <w:pPr>
        <w:spacing w:line="480" w:lineRule="auto"/>
        <w:ind w:firstLine="720"/>
        <w:contextualSpacing/>
        <w:jc w:val="left"/>
        <w:rPr>
          <w:rFonts w:eastAsia="Times New Roman"/>
          <w:color w:val="000000"/>
        </w:rPr>
      </w:pPr>
      <w:r w:rsidRPr="00B26772">
        <w:rPr>
          <w:rFonts w:eastAsia="Times New Roman"/>
          <w:color w:val="000000"/>
        </w:rPr>
        <w:t>This experiment</w:t>
      </w:r>
      <w:r w:rsidR="00CF4B60" w:rsidRPr="00B26772">
        <w:rPr>
          <w:rFonts w:eastAsia="Times New Roman"/>
          <w:color w:val="000000"/>
        </w:rPr>
        <w:t xml:space="preserve"> test</w:t>
      </w:r>
      <w:r w:rsidRPr="00B26772">
        <w:rPr>
          <w:rFonts w:eastAsia="Times New Roman"/>
          <w:color w:val="000000"/>
        </w:rPr>
        <w:t>s</w:t>
      </w:r>
      <w:r w:rsidR="00CF4B60" w:rsidRPr="00B26772">
        <w:rPr>
          <w:rFonts w:eastAsia="Times New Roman"/>
          <w:color w:val="000000"/>
        </w:rPr>
        <w:t xml:space="preserve"> whether</w:t>
      </w:r>
      <w:r w:rsidR="008B18B9" w:rsidRPr="00B26772">
        <w:rPr>
          <w:rFonts w:eastAsia="Times New Roman"/>
          <w:color w:val="000000"/>
        </w:rPr>
        <w:t xml:space="preserve"> </w:t>
      </w:r>
      <w:r w:rsidR="00CF4B60" w:rsidRPr="00B26772">
        <w:rPr>
          <w:rFonts w:eastAsia="Times New Roman"/>
          <w:color w:val="000000"/>
        </w:rPr>
        <w:t>the presence</w:t>
      </w:r>
      <w:r w:rsidR="008B18B9" w:rsidRPr="00B26772">
        <w:rPr>
          <w:rFonts w:eastAsia="Times New Roman"/>
          <w:color w:val="000000"/>
        </w:rPr>
        <w:t xml:space="preserve"> (vs. absence)</w:t>
      </w:r>
      <w:r w:rsidR="00CF4B60" w:rsidRPr="00B26772">
        <w:rPr>
          <w:rFonts w:eastAsia="Times New Roman"/>
          <w:color w:val="000000"/>
        </w:rPr>
        <w:t xml:space="preserve"> of pictographs</w:t>
      </w:r>
      <w:r w:rsidR="00440141" w:rsidRPr="00B26772">
        <w:rPr>
          <w:rFonts w:eastAsia="Times New Roman"/>
          <w:color w:val="000000"/>
        </w:rPr>
        <w:t>, alongside numeric probability information,</w:t>
      </w:r>
      <w:r w:rsidR="00CF4B60" w:rsidRPr="00B26772">
        <w:rPr>
          <w:rFonts w:eastAsia="Times New Roman"/>
          <w:color w:val="000000"/>
        </w:rPr>
        <w:t xml:space="preserve"> results in higher probability comprehension</w:t>
      </w:r>
      <w:r w:rsidR="00ED5B30">
        <w:rPr>
          <w:rFonts w:eastAsia="Times New Roman"/>
          <w:color w:val="000000"/>
        </w:rPr>
        <w:t xml:space="preserve"> </w:t>
      </w:r>
      <w:r w:rsidR="00CF4B60" w:rsidRPr="00B26772">
        <w:rPr>
          <w:rFonts w:eastAsia="Times New Roman"/>
          <w:color w:val="000000"/>
        </w:rPr>
        <w:t>and lower risk perception</w:t>
      </w:r>
      <w:r w:rsidR="008B18B9" w:rsidRPr="00B26772">
        <w:rPr>
          <w:rFonts w:eastAsia="Times New Roman"/>
          <w:color w:val="000000"/>
        </w:rPr>
        <w:t xml:space="preserve"> in the case of multiple-risk options but </w:t>
      </w:r>
      <w:r w:rsidR="00440141" w:rsidRPr="00B26772">
        <w:rPr>
          <w:rFonts w:eastAsia="Times New Roman"/>
          <w:color w:val="000000"/>
        </w:rPr>
        <w:t xml:space="preserve">not </w:t>
      </w:r>
      <w:r w:rsidR="008B18B9" w:rsidRPr="00B26772">
        <w:rPr>
          <w:rFonts w:eastAsia="Times New Roman"/>
          <w:color w:val="000000"/>
        </w:rPr>
        <w:t xml:space="preserve">in the case of single-risk options. </w:t>
      </w:r>
      <w:r w:rsidR="00B60EAE" w:rsidRPr="00B26772">
        <w:rPr>
          <w:rFonts w:eastAsia="Times New Roman"/>
          <w:color w:val="000000"/>
        </w:rPr>
        <w:t>To</w:t>
      </w:r>
      <w:r w:rsidR="00CF4B60" w:rsidRPr="00B26772">
        <w:rPr>
          <w:rFonts w:eastAsia="Times New Roman"/>
          <w:color w:val="000000"/>
        </w:rPr>
        <w:t xml:space="preserve"> align the present research with current public policy needs, </w:t>
      </w:r>
      <w:r w:rsidR="008B18B9" w:rsidRPr="00B26772">
        <w:rPr>
          <w:rFonts w:eastAsia="Times New Roman"/>
          <w:color w:val="000000"/>
        </w:rPr>
        <w:t>t</w:t>
      </w:r>
      <w:r w:rsidR="00CF4B60" w:rsidRPr="00B26772">
        <w:rPr>
          <w:rFonts w:eastAsia="Times New Roman"/>
          <w:color w:val="000000"/>
        </w:rPr>
        <w:t xml:space="preserve">he experiment </w:t>
      </w:r>
      <w:r w:rsidR="00ED5B30">
        <w:rPr>
          <w:rFonts w:eastAsia="Times New Roman"/>
          <w:color w:val="000000"/>
        </w:rPr>
        <w:t>used</w:t>
      </w:r>
      <w:r w:rsidR="00CF4B60" w:rsidRPr="00B26772">
        <w:rPr>
          <w:rFonts w:eastAsia="Times New Roman"/>
          <w:color w:val="000000"/>
        </w:rPr>
        <w:t xml:space="preserve"> the context of childhood vaccines.</w:t>
      </w:r>
    </w:p>
    <w:p w14:paraId="6BF2B404" w14:textId="77777777" w:rsidR="00CF4B60" w:rsidRPr="00B26772" w:rsidRDefault="00CF4B60" w:rsidP="00B60EAE">
      <w:pPr>
        <w:spacing w:line="480" w:lineRule="auto"/>
        <w:contextualSpacing/>
        <w:jc w:val="center"/>
        <w:rPr>
          <w:rFonts w:eastAsia="Times New Roman"/>
          <w:color w:val="000000"/>
        </w:rPr>
      </w:pPr>
      <w:r w:rsidRPr="00B26772">
        <w:rPr>
          <w:rFonts w:eastAsia="Times New Roman"/>
          <w:color w:val="000000"/>
        </w:rPr>
        <w:t>Method</w:t>
      </w:r>
    </w:p>
    <w:p w14:paraId="58F0E77A" w14:textId="77777777" w:rsidR="00CF4B60" w:rsidRPr="00B26772" w:rsidRDefault="00CF4B60" w:rsidP="002908C7">
      <w:pPr>
        <w:spacing w:line="480" w:lineRule="auto"/>
        <w:contextualSpacing/>
        <w:jc w:val="left"/>
        <w:rPr>
          <w:rFonts w:eastAsia="Times New Roman"/>
          <w:color w:val="000000"/>
        </w:rPr>
      </w:pPr>
      <w:r w:rsidRPr="00B26772">
        <w:rPr>
          <w:rFonts w:eastAsia="Times New Roman"/>
          <w:i/>
          <w:iCs/>
          <w:color w:val="000000"/>
        </w:rPr>
        <w:t>Design</w:t>
      </w:r>
    </w:p>
    <w:p w14:paraId="2CED0E0F" w14:textId="580C0D17" w:rsidR="00CF4B60" w:rsidRPr="00B26772" w:rsidRDefault="00CF4B60" w:rsidP="002908C7">
      <w:pPr>
        <w:spacing w:line="480" w:lineRule="auto"/>
        <w:ind w:firstLine="720"/>
        <w:contextualSpacing/>
        <w:jc w:val="left"/>
        <w:rPr>
          <w:rFonts w:eastAsia="Times New Roman"/>
          <w:color w:val="000000"/>
        </w:rPr>
      </w:pPr>
      <w:r w:rsidRPr="00B26772">
        <w:rPr>
          <w:rFonts w:eastAsia="Times New Roman"/>
          <w:color w:val="000000"/>
        </w:rPr>
        <w:t xml:space="preserve">The experiment </w:t>
      </w:r>
      <w:r w:rsidR="00162B37">
        <w:rPr>
          <w:rFonts w:eastAsia="Times New Roman"/>
          <w:color w:val="000000"/>
        </w:rPr>
        <w:t>used</w:t>
      </w:r>
      <w:r w:rsidRPr="00B26772">
        <w:rPr>
          <w:rFonts w:eastAsia="Times New Roman"/>
          <w:color w:val="000000"/>
        </w:rPr>
        <w:t xml:space="preserve"> a between-participants 2 (pictograph: present vs. absent) by 2 (risk option: single-risk vs. multiple-risk) design. Participants were randomly assigned to one of four conditions</w:t>
      </w:r>
      <w:r w:rsidR="00CD4145" w:rsidRPr="00B26772">
        <w:rPr>
          <w:rFonts w:eastAsia="Times New Roman"/>
          <w:color w:val="000000"/>
        </w:rPr>
        <w:t xml:space="preserve"> in which they viewed stimuli resembling </w:t>
      </w:r>
      <w:r w:rsidRPr="00B26772">
        <w:rPr>
          <w:rFonts w:eastAsia="Times New Roman"/>
          <w:color w:val="000000"/>
        </w:rPr>
        <w:t>actual risk information provided to the public on childhood vaccines.</w:t>
      </w:r>
    </w:p>
    <w:p w14:paraId="1D412E04" w14:textId="77777777" w:rsidR="00CF4B60" w:rsidRPr="00B26772" w:rsidRDefault="00CF4B60" w:rsidP="002908C7">
      <w:pPr>
        <w:spacing w:line="480" w:lineRule="auto"/>
        <w:contextualSpacing/>
        <w:jc w:val="left"/>
        <w:rPr>
          <w:rFonts w:eastAsia="Times New Roman"/>
          <w:color w:val="000000"/>
        </w:rPr>
      </w:pPr>
      <w:r w:rsidRPr="00B26772">
        <w:rPr>
          <w:rFonts w:eastAsia="Times New Roman"/>
          <w:i/>
          <w:iCs/>
          <w:color w:val="000000"/>
        </w:rPr>
        <w:t>Experimental Stimuli</w:t>
      </w:r>
    </w:p>
    <w:p w14:paraId="688F1DC0" w14:textId="53AB4F43" w:rsidR="00CF4B60" w:rsidRPr="00B26772" w:rsidRDefault="00CF4B60" w:rsidP="002908C7">
      <w:pPr>
        <w:spacing w:line="480" w:lineRule="auto"/>
        <w:ind w:firstLine="720"/>
        <w:contextualSpacing/>
        <w:jc w:val="left"/>
        <w:rPr>
          <w:rFonts w:eastAsia="Times New Roman"/>
          <w:color w:val="000000"/>
        </w:rPr>
      </w:pPr>
      <w:r w:rsidRPr="00B26772">
        <w:rPr>
          <w:rFonts w:eastAsia="Times New Roman"/>
          <w:color w:val="000000"/>
        </w:rPr>
        <w:t xml:space="preserve">The creation of the experimental stimuli was informed by a review of vaccine information sheets </w:t>
      </w:r>
      <w:r w:rsidR="006E383A" w:rsidRPr="00B26772">
        <w:rPr>
          <w:rFonts w:eastAsia="Times New Roman"/>
          <w:color w:val="000000"/>
        </w:rPr>
        <w:t xml:space="preserve">(VIS) </w:t>
      </w:r>
      <w:r w:rsidR="00CD4145" w:rsidRPr="00B26772">
        <w:rPr>
          <w:rFonts w:eastAsia="Times New Roman"/>
          <w:color w:val="000000"/>
        </w:rPr>
        <w:t>from</w:t>
      </w:r>
      <w:r w:rsidRPr="00B26772">
        <w:rPr>
          <w:rFonts w:eastAsia="Times New Roman"/>
          <w:color w:val="000000"/>
        </w:rPr>
        <w:t xml:space="preserve"> the Centers for Disease Control and Prevention (CDC). Federal law requires that </w:t>
      </w:r>
      <w:r w:rsidR="006E383A" w:rsidRPr="00B26772">
        <w:rPr>
          <w:rFonts w:eastAsia="Times New Roman"/>
          <w:color w:val="000000"/>
        </w:rPr>
        <w:t>VIS</w:t>
      </w:r>
      <w:r w:rsidRPr="00B26772">
        <w:rPr>
          <w:rFonts w:eastAsia="Times New Roman"/>
          <w:color w:val="000000"/>
        </w:rPr>
        <w:t xml:space="preserve"> are provided to a patient or parent prior to vaccine administration. A VIS was collected for each recommended child vaccine (</w:t>
      </w:r>
      <w:r w:rsidRPr="00B26772">
        <w:rPr>
          <w:rFonts w:eastAsia="Times New Roman"/>
          <w:i/>
          <w:iCs/>
          <w:color w:val="000000"/>
        </w:rPr>
        <w:t>N</w:t>
      </w:r>
      <w:r w:rsidRPr="00B26772">
        <w:rPr>
          <w:rFonts w:eastAsia="Times New Roman"/>
          <w:color w:val="000000"/>
        </w:rPr>
        <w:t xml:space="preserve"> = 12) and their side effect symptom and </w:t>
      </w:r>
      <w:r w:rsidRPr="00B26772">
        <w:rPr>
          <w:rFonts w:eastAsia="Times New Roman"/>
          <w:color w:val="000000"/>
        </w:rPr>
        <w:lastRenderedPageBreak/>
        <w:t>probability descriptions were recorded. Side effect probabilities were reported for 46 (77%) of the 60 listed side-effects</w:t>
      </w:r>
      <w:r w:rsidR="0075759F" w:rsidRPr="00B26772">
        <w:rPr>
          <w:rFonts w:eastAsia="Times New Roman"/>
          <w:color w:val="000000"/>
        </w:rPr>
        <w:t xml:space="preserve">. </w:t>
      </w:r>
      <w:bookmarkStart w:id="4" w:name="_Hlk499903980"/>
      <w:r w:rsidR="0075759F" w:rsidRPr="00B26772">
        <w:rPr>
          <w:rFonts w:eastAsia="Times New Roman"/>
          <w:color w:val="000000"/>
        </w:rPr>
        <w:t>Side-effect probabilities were only reported numerically</w:t>
      </w:r>
      <w:r w:rsidR="00A65D55">
        <w:rPr>
          <w:rFonts w:eastAsia="Times New Roman"/>
          <w:color w:val="000000"/>
        </w:rPr>
        <w:t xml:space="preserve"> and not </w:t>
      </w:r>
      <w:r w:rsidR="0075759F" w:rsidRPr="00B26772">
        <w:rPr>
          <w:rFonts w:eastAsia="Times New Roman"/>
          <w:color w:val="000000"/>
        </w:rPr>
        <w:t>graphically. 91% of side-effect probabilities were reported using the</w:t>
      </w:r>
      <w:r w:rsidRPr="00B26772">
        <w:rPr>
          <w:rFonts w:eastAsia="Times New Roman"/>
          <w:color w:val="000000"/>
        </w:rPr>
        <w:t xml:space="preserve"> numeric</w:t>
      </w:r>
      <w:r w:rsidR="0075759F" w:rsidRPr="00B26772">
        <w:rPr>
          <w:rFonts w:eastAsia="Times New Roman"/>
          <w:color w:val="000000"/>
        </w:rPr>
        <w:t xml:space="preserve"> 1-in-X</w:t>
      </w:r>
      <w:r w:rsidRPr="00B26772">
        <w:rPr>
          <w:rFonts w:eastAsia="Times New Roman"/>
          <w:color w:val="000000"/>
        </w:rPr>
        <w:t xml:space="preserve"> format</w:t>
      </w:r>
      <w:r w:rsidR="0075759F" w:rsidRPr="00B26772">
        <w:rPr>
          <w:rFonts w:eastAsia="Times New Roman"/>
          <w:color w:val="000000"/>
        </w:rPr>
        <w:t xml:space="preserve"> (e.g. 1 in 5).</w:t>
      </w:r>
      <w:r w:rsidRPr="00B26772">
        <w:rPr>
          <w:rFonts w:eastAsia="Times New Roman"/>
          <w:color w:val="000000"/>
        </w:rPr>
        <w:t xml:space="preserve"> </w:t>
      </w:r>
      <w:bookmarkEnd w:id="4"/>
      <w:r w:rsidRPr="00B26772">
        <w:rPr>
          <w:rFonts w:eastAsia="Times New Roman"/>
          <w:color w:val="000000"/>
        </w:rPr>
        <w:t xml:space="preserve">On average, the vaccines had </w:t>
      </w:r>
      <w:r w:rsidR="00162B37">
        <w:rPr>
          <w:rFonts w:eastAsia="Times New Roman"/>
          <w:color w:val="000000"/>
        </w:rPr>
        <w:t xml:space="preserve">about </w:t>
      </w:r>
      <w:r w:rsidRPr="00B26772">
        <w:rPr>
          <w:rFonts w:eastAsia="Times New Roman"/>
          <w:color w:val="000000"/>
        </w:rPr>
        <w:t>four side-effects with reported probabilities of occurrence (</w:t>
      </w:r>
      <w:r w:rsidRPr="00B26772">
        <w:rPr>
          <w:rFonts w:eastAsia="Times New Roman"/>
          <w:i/>
          <w:iCs/>
          <w:color w:val="000000"/>
        </w:rPr>
        <w:t>M</w:t>
      </w:r>
      <w:r w:rsidRPr="00B26772">
        <w:rPr>
          <w:rFonts w:eastAsia="Times New Roman"/>
          <w:color w:val="000000"/>
        </w:rPr>
        <w:t> = 4.27, </w:t>
      </w:r>
      <w:r w:rsidRPr="00B26772">
        <w:rPr>
          <w:rFonts w:eastAsia="Times New Roman"/>
          <w:i/>
          <w:iCs/>
          <w:color w:val="000000"/>
        </w:rPr>
        <w:t>SD</w:t>
      </w:r>
      <w:r w:rsidRPr="00B26772">
        <w:rPr>
          <w:rFonts w:eastAsia="Times New Roman"/>
          <w:color w:val="000000"/>
        </w:rPr>
        <w:t xml:space="preserve"> = 1.96; Table 1). </w:t>
      </w:r>
    </w:p>
    <w:p w14:paraId="557547D5" w14:textId="267166B5" w:rsidR="00CF4B60" w:rsidRPr="00B26772" w:rsidRDefault="00CF4B60" w:rsidP="00B60EAE">
      <w:pPr>
        <w:spacing w:line="480" w:lineRule="auto"/>
        <w:contextualSpacing/>
        <w:jc w:val="center"/>
        <w:rPr>
          <w:rFonts w:eastAsia="Times New Roman"/>
          <w:color w:val="000000"/>
        </w:rPr>
      </w:pPr>
      <w:r w:rsidRPr="00B26772">
        <w:rPr>
          <w:rFonts w:eastAsia="Times New Roman"/>
          <w:color w:val="000000"/>
        </w:rPr>
        <w:t>[Insert Table 1 about here]</w:t>
      </w:r>
    </w:p>
    <w:p w14:paraId="4A2462D7" w14:textId="3AF78953" w:rsidR="00CF4B60" w:rsidRPr="00B26772" w:rsidRDefault="0075759F" w:rsidP="00F13FB1">
      <w:pPr>
        <w:spacing w:line="480" w:lineRule="auto"/>
        <w:ind w:firstLine="720"/>
        <w:contextualSpacing/>
        <w:jc w:val="left"/>
        <w:rPr>
          <w:rFonts w:eastAsia="Times New Roman"/>
          <w:color w:val="000000"/>
        </w:rPr>
      </w:pPr>
      <w:r w:rsidRPr="00B26772">
        <w:rPr>
          <w:rFonts w:eastAsia="Times New Roman"/>
          <w:color w:val="000000"/>
        </w:rPr>
        <w:t>E</w:t>
      </w:r>
      <w:r w:rsidR="00CF4B60" w:rsidRPr="00B26772">
        <w:rPr>
          <w:rFonts w:eastAsia="Times New Roman"/>
          <w:color w:val="000000"/>
        </w:rPr>
        <w:t xml:space="preserve">xperimental stimuli were created to mimic the CDC’s </w:t>
      </w:r>
      <w:r w:rsidR="00B60EAE" w:rsidRPr="00B26772">
        <w:rPr>
          <w:rFonts w:eastAsia="Times New Roman"/>
          <w:color w:val="000000"/>
        </w:rPr>
        <w:t>VIS</w:t>
      </w:r>
      <w:r w:rsidR="00CF4B60" w:rsidRPr="00B26772">
        <w:rPr>
          <w:rFonts w:eastAsia="Times New Roman"/>
          <w:color w:val="000000"/>
        </w:rPr>
        <w:t xml:space="preserve">. </w:t>
      </w:r>
      <w:bookmarkStart w:id="5" w:name="_Hlk499903567"/>
      <w:r w:rsidR="00CF4B60" w:rsidRPr="00B26772">
        <w:rPr>
          <w:rFonts w:eastAsia="Times New Roman"/>
          <w:color w:val="000000"/>
        </w:rPr>
        <w:t xml:space="preserve">To control against participants’ </w:t>
      </w:r>
      <w:r w:rsidR="00C5023F" w:rsidRPr="00B26772">
        <w:rPr>
          <w:rFonts w:eastAsia="Times New Roman"/>
          <w:color w:val="000000"/>
        </w:rPr>
        <w:t xml:space="preserve">possible experience </w:t>
      </w:r>
      <w:r w:rsidR="00B60EAE" w:rsidRPr="00B26772">
        <w:rPr>
          <w:rFonts w:eastAsia="Times New Roman"/>
          <w:color w:val="000000"/>
        </w:rPr>
        <w:t xml:space="preserve">with an actual vaccine, the </w:t>
      </w:r>
      <w:r w:rsidR="00CF4B60" w:rsidRPr="00B26772">
        <w:rPr>
          <w:rFonts w:eastAsia="Times New Roman"/>
          <w:color w:val="000000"/>
        </w:rPr>
        <w:t>stimuli described an ostensible vaccine using the acronym “WE”.</w:t>
      </w:r>
      <w:r w:rsidR="00E7671B" w:rsidRPr="00B26772">
        <w:rPr>
          <w:rFonts w:eastAsia="Times New Roman"/>
          <w:color w:val="000000"/>
        </w:rPr>
        <w:t xml:space="preserve"> This acronym was chosen because it has not been used to describe an existing vaccine</w:t>
      </w:r>
      <w:r w:rsidR="00C5023F" w:rsidRPr="00B26772">
        <w:rPr>
          <w:rFonts w:eastAsia="Times New Roman"/>
          <w:color w:val="000000"/>
        </w:rPr>
        <w:t xml:space="preserve">. </w:t>
      </w:r>
      <w:bookmarkEnd w:id="5"/>
      <w:r w:rsidR="00B60EAE" w:rsidRPr="00B26772">
        <w:rPr>
          <w:rFonts w:eastAsia="Times New Roman"/>
          <w:color w:val="000000"/>
        </w:rPr>
        <w:t>A</w:t>
      </w:r>
      <w:r w:rsidR="00CF4B60" w:rsidRPr="00B26772">
        <w:rPr>
          <w:rFonts w:eastAsia="Times New Roman"/>
          <w:color w:val="000000"/>
        </w:rPr>
        <w:t xml:space="preserve"> VIS </w:t>
      </w:r>
      <w:r w:rsidR="00B60EAE" w:rsidRPr="00B26772">
        <w:rPr>
          <w:rFonts w:eastAsia="Times New Roman"/>
          <w:color w:val="000000"/>
        </w:rPr>
        <w:t xml:space="preserve">stimulus </w:t>
      </w:r>
      <w:r w:rsidR="00CF4B60" w:rsidRPr="00B26772">
        <w:rPr>
          <w:rFonts w:eastAsia="Times New Roman"/>
          <w:color w:val="000000"/>
        </w:rPr>
        <w:t>was created for each of the four conditions.</w:t>
      </w:r>
      <w:r w:rsidR="00E7671B" w:rsidRPr="00B26772">
        <w:rPr>
          <w:rFonts w:eastAsia="Times New Roman"/>
          <w:color w:val="000000"/>
        </w:rPr>
        <w:t xml:space="preserve"> </w:t>
      </w:r>
      <w:r w:rsidR="00CF4B60" w:rsidRPr="00B26772">
        <w:rPr>
          <w:rFonts w:eastAsia="Times New Roman"/>
          <w:color w:val="000000"/>
        </w:rPr>
        <w:t>In the single-risk option condition, only one possible side-effect was reported -- a 20% chance of mild fever</w:t>
      </w:r>
      <w:r w:rsidR="0098462A" w:rsidRPr="00B26772">
        <w:rPr>
          <w:rFonts w:eastAsia="Times New Roman"/>
          <w:color w:val="000000"/>
        </w:rPr>
        <w:t xml:space="preserve">. </w:t>
      </w:r>
      <w:bookmarkStart w:id="6" w:name="_Hlk498674331"/>
      <w:r w:rsidR="0098462A" w:rsidRPr="00B26772">
        <w:rPr>
          <w:rFonts w:eastAsia="Times New Roman"/>
          <w:color w:val="000000"/>
        </w:rPr>
        <w:t xml:space="preserve">Mild fever </w:t>
      </w:r>
      <w:r w:rsidR="00A65D55">
        <w:rPr>
          <w:rFonts w:eastAsia="Times New Roman"/>
          <w:color w:val="000000"/>
        </w:rPr>
        <w:t xml:space="preserve">was </w:t>
      </w:r>
      <w:r w:rsidR="00BA4F48" w:rsidRPr="00B26772">
        <w:rPr>
          <w:rFonts w:eastAsia="Times New Roman"/>
          <w:color w:val="000000"/>
        </w:rPr>
        <w:t xml:space="preserve">the most common side-effect </w:t>
      </w:r>
      <w:r w:rsidR="00CC2053" w:rsidRPr="00B26772">
        <w:rPr>
          <w:rFonts w:eastAsia="Times New Roman"/>
          <w:color w:val="000000"/>
        </w:rPr>
        <w:t xml:space="preserve">in </w:t>
      </w:r>
      <w:r w:rsidR="00461BB2">
        <w:rPr>
          <w:rFonts w:eastAsia="Times New Roman"/>
          <w:color w:val="000000"/>
        </w:rPr>
        <w:t>our review of the</w:t>
      </w:r>
      <w:r w:rsidR="00BA4F48" w:rsidRPr="00B26772">
        <w:rPr>
          <w:rFonts w:eastAsia="Times New Roman"/>
          <w:color w:val="000000"/>
        </w:rPr>
        <w:t xml:space="preserve"> CDC’s VIS</w:t>
      </w:r>
      <w:r w:rsidR="007E330E">
        <w:rPr>
          <w:rFonts w:eastAsia="Times New Roman"/>
          <w:color w:val="000000"/>
        </w:rPr>
        <w:t>, being listed</w:t>
      </w:r>
      <w:r w:rsidR="00A65D55">
        <w:rPr>
          <w:rFonts w:eastAsia="Times New Roman"/>
          <w:color w:val="000000"/>
        </w:rPr>
        <w:t xml:space="preserve"> </w:t>
      </w:r>
      <w:r w:rsidR="007E330E">
        <w:rPr>
          <w:rFonts w:eastAsia="Times New Roman"/>
          <w:color w:val="000000"/>
        </w:rPr>
        <w:t>as a possible</w:t>
      </w:r>
      <w:r w:rsidR="00CC2053" w:rsidRPr="00B26772">
        <w:rPr>
          <w:rFonts w:eastAsia="Times New Roman"/>
          <w:color w:val="000000"/>
        </w:rPr>
        <w:t xml:space="preserve"> side-effect </w:t>
      </w:r>
      <w:r w:rsidR="00A65D55">
        <w:rPr>
          <w:rFonts w:eastAsia="Times New Roman"/>
          <w:color w:val="000000"/>
        </w:rPr>
        <w:t xml:space="preserve">for the following nine vaccines: </w:t>
      </w:r>
      <w:r w:rsidR="00CC2053" w:rsidRPr="00B26772">
        <w:rPr>
          <w:rFonts w:eastAsia="Times New Roman"/>
          <w:color w:val="000000"/>
        </w:rPr>
        <w:t>VAR, DTap, PCV13, HPV-Gardasil, HPV-Cervarix, HepB, MMRV, Hib, and MMR</w:t>
      </w:r>
      <w:r w:rsidR="001D12EA" w:rsidRPr="00B26772">
        <w:rPr>
          <w:rFonts w:eastAsia="Times New Roman"/>
          <w:color w:val="000000"/>
        </w:rPr>
        <w:t xml:space="preserve">. </w:t>
      </w:r>
      <w:bookmarkEnd w:id="6"/>
      <w:r w:rsidR="00CF4B60" w:rsidRPr="00B26772">
        <w:rPr>
          <w:rFonts w:eastAsia="Times New Roman"/>
          <w:color w:val="000000"/>
        </w:rPr>
        <w:t>In the multiple-risk option condition, four possible side-effects were reported -- a 20% chance of mild fever (as in the single-risk option condition), a 10% chance of poor appetite (e.g.</w:t>
      </w:r>
      <w:r w:rsidR="007E330E">
        <w:rPr>
          <w:rFonts w:eastAsia="Times New Roman"/>
          <w:color w:val="000000"/>
        </w:rPr>
        <w:t xml:space="preserve"> </w:t>
      </w:r>
      <w:r w:rsidR="00CF4B60" w:rsidRPr="00B26772">
        <w:rPr>
          <w:rFonts w:eastAsia="Times New Roman"/>
          <w:color w:val="000000"/>
        </w:rPr>
        <w:t xml:space="preserve">PCV13 and HepA), a 5% chance of vomiting (e.g. RV and DTap), and a 2% chance of high fever (e.g. HPV-Gardasil, PCV13, Hib, and DTap). The multiple-risk option included four side-effects because </w:t>
      </w:r>
      <w:r w:rsidR="00CC2053" w:rsidRPr="00B26772">
        <w:rPr>
          <w:rFonts w:eastAsia="Times New Roman"/>
          <w:color w:val="000000"/>
        </w:rPr>
        <w:t>our</w:t>
      </w:r>
      <w:r w:rsidR="00CF4B60" w:rsidRPr="00B26772">
        <w:rPr>
          <w:rFonts w:eastAsia="Times New Roman"/>
          <w:color w:val="000000"/>
        </w:rPr>
        <w:t xml:space="preserve"> VIS review found </w:t>
      </w:r>
      <w:r w:rsidR="00CC2053" w:rsidRPr="00B26772">
        <w:rPr>
          <w:rFonts w:eastAsia="Times New Roman"/>
          <w:color w:val="000000"/>
        </w:rPr>
        <w:t xml:space="preserve">the average number of side-effects with reported </w:t>
      </w:r>
      <w:r w:rsidR="00B23405" w:rsidRPr="00B26772">
        <w:rPr>
          <w:rFonts w:eastAsia="Times New Roman"/>
          <w:color w:val="000000"/>
        </w:rPr>
        <w:t>probabilities</w:t>
      </w:r>
      <w:r w:rsidR="00CC2053" w:rsidRPr="00B26772">
        <w:rPr>
          <w:rFonts w:eastAsia="Times New Roman"/>
          <w:color w:val="000000"/>
        </w:rPr>
        <w:t xml:space="preserve"> per vaccine was 4.27.</w:t>
      </w:r>
      <w:r w:rsidR="00CF4B60" w:rsidRPr="00B26772">
        <w:rPr>
          <w:rStyle w:val="FootnoteReference"/>
          <w:rFonts w:eastAsia="Times New Roman"/>
          <w:color w:val="000000"/>
        </w:rPr>
        <w:footnoteReference w:id="1"/>
      </w:r>
      <w:r w:rsidR="00CF4B60" w:rsidRPr="00B26772">
        <w:rPr>
          <w:rFonts w:eastAsia="Times New Roman"/>
          <w:color w:val="000000"/>
        </w:rPr>
        <w:t xml:space="preserve"> Pictographs </w:t>
      </w:r>
      <w:r w:rsidR="00CF4B60" w:rsidRPr="00B26772">
        <w:rPr>
          <w:rFonts w:eastAsia="Times New Roman"/>
          <w:color w:val="000000"/>
        </w:rPr>
        <w:lastRenderedPageBreak/>
        <w:t>were created using the web-based “Picto-Generator” created by the Center for Bioethics and Social Sciences in Medicine (CBSSM</w:t>
      </w:r>
      <w:r w:rsidR="00B23405" w:rsidRPr="00B26772">
        <w:rPr>
          <w:rFonts w:eastAsia="Times New Roman"/>
          <w:color w:val="000000"/>
        </w:rPr>
        <w:t xml:space="preserve">; </w:t>
      </w:r>
      <w:r w:rsidR="00CF4B60" w:rsidRPr="00B26772">
        <w:rPr>
          <w:rFonts w:eastAsia="Times New Roman"/>
          <w:color w:val="000000"/>
        </w:rPr>
        <w:t>cbssm.org/research_tools/pictographs</w:t>
      </w:r>
      <w:r w:rsidR="00B23405" w:rsidRPr="00B26772">
        <w:rPr>
          <w:rFonts w:eastAsia="Times New Roman"/>
          <w:color w:val="000000"/>
        </w:rPr>
        <w:t>z)</w:t>
      </w:r>
      <w:r w:rsidR="00CF4B60" w:rsidRPr="00B26772">
        <w:rPr>
          <w:rFonts w:eastAsia="Times New Roman"/>
          <w:color w:val="000000"/>
        </w:rPr>
        <w:t>.</w:t>
      </w:r>
    </w:p>
    <w:p w14:paraId="70F0A31A" w14:textId="77777777" w:rsidR="00CF4B60" w:rsidRPr="00B26772" w:rsidRDefault="00CF4B60" w:rsidP="002908C7">
      <w:pPr>
        <w:spacing w:line="480" w:lineRule="auto"/>
        <w:contextualSpacing/>
        <w:jc w:val="left"/>
        <w:rPr>
          <w:rFonts w:eastAsia="Times New Roman"/>
          <w:color w:val="000000"/>
        </w:rPr>
      </w:pPr>
      <w:r w:rsidRPr="00B26772">
        <w:rPr>
          <w:rFonts w:eastAsia="Times New Roman"/>
          <w:i/>
          <w:iCs/>
          <w:color w:val="000000"/>
        </w:rPr>
        <w:t>Participants</w:t>
      </w:r>
    </w:p>
    <w:p w14:paraId="5AAE03D8" w14:textId="42E873FA" w:rsidR="00CF4B60" w:rsidRPr="00B26772" w:rsidRDefault="00CF4B60" w:rsidP="002908C7">
      <w:pPr>
        <w:spacing w:line="480" w:lineRule="auto"/>
        <w:ind w:firstLine="720"/>
        <w:contextualSpacing/>
        <w:jc w:val="left"/>
        <w:rPr>
          <w:rFonts w:eastAsia="Times New Roman"/>
          <w:color w:val="000000"/>
        </w:rPr>
      </w:pPr>
      <w:r w:rsidRPr="00B26772">
        <w:rPr>
          <w:rFonts w:eastAsia="Times New Roman"/>
          <w:color w:val="000000"/>
        </w:rPr>
        <w:t>A total of 282 adults (</w:t>
      </w:r>
      <w:r w:rsidR="00C43735">
        <w:rPr>
          <w:rFonts w:eastAsia="Times New Roman"/>
          <w:i/>
          <w:iCs/>
          <w:color w:val="000000"/>
        </w:rPr>
        <w:t>M(age)</w:t>
      </w:r>
      <w:r w:rsidRPr="00B26772">
        <w:rPr>
          <w:rFonts w:eastAsia="Times New Roman"/>
          <w:i/>
          <w:iCs/>
          <w:color w:val="000000"/>
        </w:rPr>
        <w:t> </w:t>
      </w:r>
      <w:r w:rsidRPr="00B26772">
        <w:rPr>
          <w:rFonts w:eastAsia="Times New Roman"/>
          <w:color w:val="000000"/>
        </w:rPr>
        <w:t>= 34.42, </w:t>
      </w:r>
      <w:r w:rsidRPr="00B26772">
        <w:rPr>
          <w:rFonts w:eastAsia="Times New Roman"/>
          <w:i/>
          <w:iCs/>
          <w:color w:val="000000"/>
        </w:rPr>
        <w:t>SD</w:t>
      </w:r>
      <w:r w:rsidRPr="00B26772">
        <w:rPr>
          <w:rFonts w:eastAsia="Times New Roman"/>
          <w:color w:val="000000"/>
        </w:rPr>
        <w:t> = 9.74, 54.6% female) participated for payment and were recruited using Amazon Mechanical Turk (Casler, Bickel, and Hackett 2013). Participation was limited to participants located in the United States, fluent in English, and who had at least one child. 91.5% of participants had one or more children under the age of 18</w:t>
      </w:r>
      <w:r w:rsidR="004717A6">
        <w:rPr>
          <w:rFonts w:eastAsia="Times New Roman"/>
          <w:color w:val="000000"/>
        </w:rPr>
        <w:t>.</w:t>
      </w:r>
      <w:r w:rsidRPr="00B26772">
        <w:rPr>
          <w:rFonts w:eastAsia="Times New Roman"/>
          <w:color w:val="000000"/>
        </w:rPr>
        <w:t xml:space="preserve"> </w:t>
      </w:r>
      <w:r w:rsidR="00B23405" w:rsidRPr="00B26772">
        <w:rPr>
          <w:rFonts w:eastAsia="Times New Roman"/>
          <w:color w:val="000000"/>
        </w:rPr>
        <w:t>Their</w:t>
      </w:r>
      <w:r w:rsidRPr="00B26772">
        <w:rPr>
          <w:rFonts w:eastAsia="Times New Roman"/>
          <w:color w:val="000000"/>
        </w:rPr>
        <w:t xml:space="preserve"> demographics were </w:t>
      </w:r>
      <w:r w:rsidR="004717A6">
        <w:rPr>
          <w:rFonts w:eastAsia="Times New Roman"/>
          <w:color w:val="000000"/>
        </w:rPr>
        <w:t>like</w:t>
      </w:r>
      <w:r w:rsidRPr="00B26772">
        <w:rPr>
          <w:rFonts w:eastAsia="Times New Roman"/>
          <w:color w:val="000000"/>
        </w:rPr>
        <w:t xml:space="preserve"> those of the U.S. population (www.census.gov): 79.8% </w:t>
      </w:r>
      <w:r w:rsidR="00B23405" w:rsidRPr="00B26772">
        <w:rPr>
          <w:rFonts w:eastAsia="Times New Roman"/>
          <w:color w:val="000000"/>
        </w:rPr>
        <w:t xml:space="preserve">were </w:t>
      </w:r>
      <w:r w:rsidRPr="00B26772">
        <w:rPr>
          <w:rFonts w:eastAsia="Times New Roman"/>
          <w:color w:val="000000"/>
        </w:rPr>
        <w:t>“Caucasian”, 7.1% “Hispanic”, 5.3% “Asian”, and 2.8% “Other”; 31.6% had “less than a college degree”, 59.2% had “a college degree”, and 9.2% had “</w:t>
      </w:r>
      <w:r w:rsidR="00B23405" w:rsidRPr="00B26772">
        <w:rPr>
          <w:rFonts w:eastAsia="Times New Roman"/>
          <w:color w:val="000000"/>
        </w:rPr>
        <w:t xml:space="preserve">a </w:t>
      </w:r>
      <w:r w:rsidRPr="00B26772">
        <w:rPr>
          <w:rFonts w:eastAsia="Times New Roman"/>
          <w:color w:val="000000"/>
        </w:rPr>
        <w:t>graduate degree”.</w:t>
      </w:r>
    </w:p>
    <w:p w14:paraId="60D668C8" w14:textId="77777777" w:rsidR="00CF4B60" w:rsidRPr="00B26772" w:rsidRDefault="00CF4B60" w:rsidP="002908C7">
      <w:pPr>
        <w:spacing w:line="480" w:lineRule="auto"/>
        <w:contextualSpacing/>
        <w:jc w:val="left"/>
        <w:rPr>
          <w:rFonts w:eastAsia="Times New Roman"/>
          <w:color w:val="000000"/>
        </w:rPr>
      </w:pPr>
      <w:r w:rsidRPr="00B26772">
        <w:rPr>
          <w:rFonts w:eastAsia="Times New Roman"/>
          <w:i/>
          <w:iCs/>
          <w:color w:val="000000"/>
        </w:rPr>
        <w:t>Procedure</w:t>
      </w:r>
    </w:p>
    <w:p w14:paraId="1C7EAF67" w14:textId="77777777" w:rsidR="00CF4B60" w:rsidRPr="00B26772" w:rsidRDefault="00CF4B60" w:rsidP="002908C7">
      <w:pPr>
        <w:spacing w:line="480" w:lineRule="auto"/>
        <w:ind w:firstLine="720"/>
        <w:contextualSpacing/>
        <w:jc w:val="left"/>
        <w:rPr>
          <w:rFonts w:eastAsia="Times New Roman"/>
          <w:color w:val="000000"/>
        </w:rPr>
      </w:pPr>
      <w:r w:rsidRPr="00B26772">
        <w:rPr>
          <w:rFonts w:eastAsia="Times New Roman"/>
          <w:color w:val="000000"/>
        </w:rPr>
        <w:t>All participants began by reading the following: “Imagine that health officials are recommending that all children get the WE vaccine to avoid contracting pertussis, a potentially life-threatening disease. Please review the provided information on the WE vaccine and then answer the questions that follow.” Participants were then presented a VIS specific to their condition (Figure 1).</w:t>
      </w:r>
    </w:p>
    <w:p w14:paraId="431BC7BA" w14:textId="77777777" w:rsidR="00CF4B60" w:rsidRPr="00B26772" w:rsidRDefault="00CF4B60" w:rsidP="006D39E7">
      <w:pPr>
        <w:spacing w:line="480" w:lineRule="auto"/>
        <w:contextualSpacing/>
        <w:jc w:val="center"/>
        <w:rPr>
          <w:rFonts w:eastAsia="Times New Roman"/>
          <w:color w:val="000000"/>
        </w:rPr>
      </w:pPr>
      <w:r w:rsidRPr="00B26772">
        <w:rPr>
          <w:rFonts w:eastAsia="Times New Roman"/>
          <w:color w:val="000000"/>
        </w:rPr>
        <w:t>[Insert Figure 1 about here]</w:t>
      </w:r>
    </w:p>
    <w:p w14:paraId="1BCA0516" w14:textId="77777777" w:rsidR="00CF4B60" w:rsidRPr="00B26772" w:rsidRDefault="00CF4B60" w:rsidP="002908C7">
      <w:pPr>
        <w:spacing w:line="480" w:lineRule="auto"/>
        <w:contextualSpacing/>
        <w:jc w:val="left"/>
        <w:rPr>
          <w:rFonts w:eastAsia="Times New Roman"/>
          <w:color w:val="000000"/>
        </w:rPr>
      </w:pPr>
      <w:r w:rsidRPr="00B26772">
        <w:rPr>
          <w:rFonts w:eastAsia="Times New Roman"/>
          <w:i/>
          <w:iCs/>
          <w:color w:val="000000"/>
        </w:rPr>
        <w:t>Measures</w:t>
      </w:r>
    </w:p>
    <w:p w14:paraId="60CB2B79" w14:textId="4101CEB9" w:rsidR="00CF4B60" w:rsidRPr="00B26772" w:rsidRDefault="00CF4B60" w:rsidP="002C31BB">
      <w:pPr>
        <w:spacing w:line="480" w:lineRule="auto"/>
        <w:ind w:firstLine="720"/>
        <w:contextualSpacing/>
        <w:jc w:val="left"/>
        <w:rPr>
          <w:rFonts w:eastAsia="Times New Roman"/>
          <w:color w:val="000000"/>
        </w:rPr>
      </w:pPr>
      <w:r w:rsidRPr="00B26772">
        <w:rPr>
          <w:rFonts w:eastAsia="Times New Roman"/>
          <w:color w:val="000000"/>
        </w:rPr>
        <w:t xml:space="preserve">Probability comprehension was measured </w:t>
      </w:r>
      <w:r w:rsidR="00B23405" w:rsidRPr="00B26772">
        <w:rPr>
          <w:rFonts w:eastAsia="Times New Roman"/>
          <w:color w:val="000000"/>
        </w:rPr>
        <w:t>following previous</w:t>
      </w:r>
      <w:r w:rsidR="006228BD" w:rsidRPr="00B26772">
        <w:rPr>
          <w:rFonts w:eastAsia="Times New Roman"/>
          <w:color w:val="000000"/>
        </w:rPr>
        <w:t xml:space="preserve"> research </w:t>
      </w:r>
      <w:bookmarkStart w:id="7" w:name="_Hlk498690499"/>
      <w:r w:rsidRPr="00B26772">
        <w:rPr>
          <w:rFonts w:eastAsia="Times New Roman"/>
          <w:color w:val="000000"/>
        </w:rPr>
        <w:t>(Garcia-Retamero and Galesic 2009</w:t>
      </w:r>
      <w:r w:rsidR="006228BD" w:rsidRPr="00B26772">
        <w:rPr>
          <w:rFonts w:eastAsia="Times New Roman"/>
          <w:color w:val="000000"/>
        </w:rPr>
        <w:t>; Galesic, Garcia-Retamero, and Gigerenzer 2009</w:t>
      </w:r>
      <w:r w:rsidR="004717A6">
        <w:rPr>
          <w:rFonts w:eastAsia="Times New Roman"/>
          <w:color w:val="000000"/>
        </w:rPr>
        <w:t xml:space="preserve">; </w:t>
      </w:r>
      <w:r w:rsidR="004717A6" w:rsidRPr="00B26772">
        <w:rPr>
          <w:rFonts w:eastAsia="Times New Roman"/>
          <w:color w:val="000000"/>
        </w:rPr>
        <w:t>Schwartz et al. 1997</w:t>
      </w:r>
      <w:r w:rsidRPr="00B26772">
        <w:rPr>
          <w:rFonts w:eastAsia="Times New Roman"/>
          <w:color w:val="000000"/>
        </w:rPr>
        <w:t xml:space="preserve">). </w:t>
      </w:r>
      <w:bookmarkEnd w:id="7"/>
      <w:r w:rsidRPr="00B26772">
        <w:rPr>
          <w:rFonts w:eastAsia="Times New Roman"/>
          <w:color w:val="000000"/>
        </w:rPr>
        <w:t xml:space="preserve">In the single-risk option condition, probability comprehension was measured using one item: “If 1,000 children got this vaccine, approximately how many would experience mild fever?” </w:t>
      </w:r>
      <w:r w:rsidR="006228BD" w:rsidRPr="00B26772">
        <w:rPr>
          <w:rFonts w:eastAsia="Times New Roman"/>
          <w:color w:val="000000"/>
        </w:rPr>
        <w:t xml:space="preserve">Bergkvist and Rossiter (2007) provide support for the use of a single-item measure in consumer research. </w:t>
      </w:r>
      <w:r w:rsidRPr="00B26772">
        <w:rPr>
          <w:rFonts w:eastAsia="Times New Roman"/>
          <w:color w:val="000000"/>
        </w:rPr>
        <w:t xml:space="preserve">In the </w:t>
      </w:r>
      <w:r w:rsidRPr="00B26772">
        <w:rPr>
          <w:rFonts w:eastAsia="Times New Roman"/>
          <w:color w:val="000000"/>
        </w:rPr>
        <w:lastRenderedPageBreak/>
        <w:t>multiple-risk option condition, probability comprehension was measured using four items: “If 1,000 children got this vaccine, approximately how many would experience mild fever/poor appetite/vomiting/high fever?” In each condition, participants responded</w:t>
      </w:r>
      <w:r w:rsidR="008A7688">
        <w:rPr>
          <w:rFonts w:eastAsia="Times New Roman"/>
          <w:color w:val="000000"/>
        </w:rPr>
        <w:t xml:space="preserve"> to each item</w:t>
      </w:r>
      <w:r w:rsidRPr="00B26772">
        <w:rPr>
          <w:rFonts w:eastAsia="Times New Roman"/>
          <w:color w:val="000000"/>
        </w:rPr>
        <w:t xml:space="preserve"> </w:t>
      </w:r>
      <w:r w:rsidR="004717A6">
        <w:rPr>
          <w:rFonts w:eastAsia="Times New Roman"/>
          <w:color w:val="000000"/>
        </w:rPr>
        <w:t xml:space="preserve">by </w:t>
      </w:r>
      <w:r w:rsidRPr="00B26772">
        <w:rPr>
          <w:rFonts w:eastAsia="Times New Roman"/>
          <w:color w:val="000000"/>
        </w:rPr>
        <w:t>entering a whole number between 0 and 1000</w:t>
      </w:r>
      <w:r w:rsidR="002C31BB">
        <w:rPr>
          <w:rFonts w:eastAsia="Times New Roman"/>
          <w:color w:val="000000"/>
        </w:rPr>
        <w:t xml:space="preserve"> (</w:t>
      </w:r>
      <w:r w:rsidR="002C31BB" w:rsidRPr="00B26772">
        <w:rPr>
          <w:rFonts w:eastAsia="Times New Roman"/>
          <w:color w:val="000000"/>
        </w:rPr>
        <w:t>Garcia-Retamero and Galesic 2009</w:t>
      </w:r>
      <w:r w:rsidR="002C31BB">
        <w:rPr>
          <w:rFonts w:eastAsia="Times New Roman"/>
          <w:color w:val="000000"/>
        </w:rPr>
        <w:t>)</w:t>
      </w:r>
      <w:r w:rsidRPr="00B26772">
        <w:rPr>
          <w:rFonts w:eastAsia="Times New Roman"/>
          <w:color w:val="000000"/>
        </w:rPr>
        <w:t>.</w:t>
      </w:r>
      <w:r w:rsidR="000E2B2B" w:rsidRPr="00B26772">
        <w:rPr>
          <w:rFonts w:eastAsia="Times New Roman"/>
          <w:color w:val="000000"/>
        </w:rPr>
        <w:t xml:space="preserve"> </w:t>
      </w:r>
      <w:r w:rsidR="002C31BB">
        <w:rPr>
          <w:rFonts w:eastAsia="Times New Roman"/>
          <w:color w:val="000000"/>
        </w:rPr>
        <w:t>R</w:t>
      </w:r>
      <w:r w:rsidR="002C31BB" w:rsidRPr="00B26772">
        <w:rPr>
          <w:rFonts w:eastAsia="Times New Roman"/>
          <w:color w:val="000000"/>
        </w:rPr>
        <w:t>isk perception was measured using the following two items (</w:t>
      </w:r>
      <w:r w:rsidR="002C31BB" w:rsidRPr="00B26772">
        <w:rPr>
          <w:rFonts w:eastAsia="Times New Roman"/>
          <w:i/>
          <w:iCs/>
          <w:color w:val="000000"/>
        </w:rPr>
        <w:t>alpha</w:t>
      </w:r>
      <w:r w:rsidR="002C31BB" w:rsidRPr="00B26772">
        <w:rPr>
          <w:rFonts w:eastAsia="Times New Roman"/>
          <w:color w:val="000000"/>
        </w:rPr>
        <w:t> = .91): “In your opinion, this vaccine is” (0 = Not at all risky, 100 = Extremely risky), and “In your opinion, the risk of side-effects is” (0 = Extremely low, 100 = Extremely high).</w:t>
      </w:r>
      <w:r w:rsidR="002C31BB">
        <w:rPr>
          <w:rFonts w:eastAsia="Times New Roman"/>
          <w:color w:val="000000"/>
        </w:rPr>
        <w:t xml:space="preserve"> </w:t>
      </w:r>
      <w:r w:rsidR="00B23405" w:rsidRPr="00B26772">
        <w:rPr>
          <w:rFonts w:eastAsia="Times New Roman"/>
          <w:color w:val="000000"/>
        </w:rPr>
        <w:t>P</w:t>
      </w:r>
      <w:r w:rsidRPr="00B26772">
        <w:rPr>
          <w:rFonts w:eastAsia="Times New Roman"/>
          <w:color w:val="000000"/>
        </w:rPr>
        <w:t xml:space="preserve">articipants </w:t>
      </w:r>
      <w:r w:rsidR="00B23405" w:rsidRPr="00B26772">
        <w:rPr>
          <w:rFonts w:eastAsia="Times New Roman"/>
          <w:color w:val="000000"/>
        </w:rPr>
        <w:t xml:space="preserve">also </w:t>
      </w:r>
      <w:r w:rsidRPr="00B26772">
        <w:rPr>
          <w:rFonts w:eastAsia="Times New Roman"/>
          <w:color w:val="000000"/>
        </w:rPr>
        <w:t xml:space="preserve">reported their familiarity with vaccines (1 = Not at all familiar, 9 = Very familiar), education, gender, ethnicity, age, fluency in English, and country of residence. </w:t>
      </w:r>
      <w:r w:rsidR="00C43735">
        <w:rPr>
          <w:rFonts w:eastAsia="Times New Roman"/>
          <w:color w:val="000000"/>
        </w:rPr>
        <w:t>P</w:t>
      </w:r>
      <w:r w:rsidRPr="00B26772">
        <w:rPr>
          <w:rFonts w:eastAsia="Times New Roman"/>
          <w:color w:val="000000"/>
        </w:rPr>
        <w:t xml:space="preserve">articipants were </w:t>
      </w:r>
      <w:r w:rsidR="00C43735">
        <w:rPr>
          <w:rFonts w:eastAsia="Times New Roman"/>
          <w:color w:val="000000"/>
        </w:rPr>
        <w:t xml:space="preserve">then </w:t>
      </w:r>
      <w:r w:rsidRPr="00B26772">
        <w:rPr>
          <w:rFonts w:eastAsia="Times New Roman"/>
          <w:color w:val="000000"/>
        </w:rPr>
        <w:t>debriefed and directed to the CDC website</w:t>
      </w:r>
      <w:r w:rsidR="008A7688">
        <w:rPr>
          <w:rFonts w:eastAsia="Times New Roman"/>
          <w:color w:val="000000"/>
        </w:rPr>
        <w:t xml:space="preserve">. </w:t>
      </w:r>
    </w:p>
    <w:p w14:paraId="6D4FB9BD" w14:textId="77777777" w:rsidR="00CF4B60" w:rsidRPr="00B26772" w:rsidRDefault="00CF4B60" w:rsidP="006D39E7">
      <w:pPr>
        <w:spacing w:line="480" w:lineRule="auto"/>
        <w:contextualSpacing/>
        <w:jc w:val="center"/>
        <w:rPr>
          <w:rFonts w:eastAsia="Times New Roman"/>
          <w:color w:val="000000"/>
        </w:rPr>
      </w:pPr>
      <w:r w:rsidRPr="00B26772">
        <w:rPr>
          <w:rFonts w:eastAsia="Times New Roman"/>
          <w:color w:val="000000"/>
        </w:rPr>
        <w:t>Results and Discussion</w:t>
      </w:r>
    </w:p>
    <w:p w14:paraId="2695805F" w14:textId="77777777" w:rsidR="00CF4B60" w:rsidRPr="00B26772" w:rsidRDefault="00CF4B60" w:rsidP="002908C7">
      <w:pPr>
        <w:spacing w:line="480" w:lineRule="auto"/>
        <w:contextualSpacing/>
        <w:jc w:val="left"/>
        <w:rPr>
          <w:rFonts w:eastAsia="Times New Roman"/>
          <w:color w:val="000000"/>
        </w:rPr>
      </w:pPr>
      <w:r w:rsidRPr="00B26772">
        <w:rPr>
          <w:rFonts w:eastAsia="Times New Roman"/>
          <w:i/>
          <w:iCs/>
          <w:color w:val="000000"/>
        </w:rPr>
        <w:t>Probability Comprehension</w:t>
      </w:r>
    </w:p>
    <w:p w14:paraId="5ECA4EF4" w14:textId="02A52B00" w:rsidR="00AB60AB" w:rsidRDefault="0058497C" w:rsidP="00AB60AB">
      <w:pPr>
        <w:spacing w:line="480" w:lineRule="auto"/>
        <w:ind w:firstLine="720"/>
        <w:contextualSpacing/>
        <w:jc w:val="left"/>
        <w:rPr>
          <w:rFonts w:eastAsia="Times New Roman"/>
          <w:color w:val="000000"/>
        </w:rPr>
      </w:pPr>
      <w:r w:rsidRPr="00B26772">
        <w:rPr>
          <w:rFonts w:eastAsia="Times New Roman"/>
          <w:color w:val="000000"/>
        </w:rPr>
        <w:t>Probability comprehension was assessed by creating a percentage correct score for each participant (Schwartz et al. 1997). Probability comprehension was assessed independently for the single-risk condition and the multiple-risk condition since the number of comprehension questions was not constant across the conditions</w:t>
      </w:r>
      <w:r w:rsidR="006240BE">
        <w:rPr>
          <w:rFonts w:eastAsia="Times New Roman"/>
          <w:color w:val="000000"/>
        </w:rPr>
        <w:t xml:space="preserve"> </w:t>
      </w:r>
      <w:r w:rsidR="006240BE" w:rsidRPr="00B26772">
        <w:rPr>
          <w:rFonts w:eastAsia="Times New Roman"/>
          <w:color w:val="000000"/>
        </w:rPr>
        <w:t>(1 vs. 4)</w:t>
      </w:r>
      <w:r w:rsidRPr="00B26772">
        <w:rPr>
          <w:rFonts w:eastAsia="Times New Roman"/>
          <w:color w:val="000000"/>
        </w:rPr>
        <w:t>. In the single-risk option</w:t>
      </w:r>
      <w:r w:rsidR="006240BE">
        <w:rPr>
          <w:rFonts w:eastAsia="Times New Roman"/>
          <w:color w:val="000000"/>
        </w:rPr>
        <w:t xml:space="preserve"> condition</w:t>
      </w:r>
      <w:r w:rsidRPr="00B26772">
        <w:rPr>
          <w:rFonts w:eastAsia="Times New Roman"/>
          <w:color w:val="000000"/>
        </w:rPr>
        <w:t>, participants answered one comprehension question pertaining to the single side-effect probability on their condition-specific VIS. Thus, their percentage correct scores were either 0% or 100%. In the multiple-risk option condition, participants answered four comprehension questions pertaining to the side-effect probabilities reported on their condition-specific VIS. Thus, their percentage correct scores corresponded to their number of correct responses out of their four responses.</w:t>
      </w:r>
      <w:r w:rsidR="002C31BB">
        <w:rPr>
          <w:rFonts w:eastAsia="Times New Roman"/>
          <w:color w:val="000000"/>
        </w:rPr>
        <w:t xml:space="preserve"> </w:t>
      </w:r>
      <w:r w:rsidR="00AB60AB">
        <w:rPr>
          <w:rFonts w:eastAsia="Times New Roman"/>
          <w:color w:val="000000"/>
        </w:rPr>
        <w:t xml:space="preserve">Table 2 </w:t>
      </w:r>
      <w:r w:rsidR="008A7688">
        <w:rPr>
          <w:rFonts w:eastAsia="Times New Roman"/>
          <w:color w:val="000000"/>
        </w:rPr>
        <w:t>reports these</w:t>
      </w:r>
      <w:r w:rsidR="00AB60AB">
        <w:rPr>
          <w:rFonts w:eastAsia="Times New Roman"/>
          <w:color w:val="000000"/>
        </w:rPr>
        <w:t xml:space="preserve"> </w:t>
      </w:r>
      <w:r w:rsidR="006240BE">
        <w:rPr>
          <w:rFonts w:eastAsia="Times New Roman"/>
          <w:color w:val="000000"/>
        </w:rPr>
        <w:t>estimate</w:t>
      </w:r>
      <w:r w:rsidR="008A7688">
        <w:rPr>
          <w:rFonts w:eastAsia="Times New Roman"/>
          <w:color w:val="000000"/>
        </w:rPr>
        <w:t>s</w:t>
      </w:r>
      <w:r w:rsidR="00AB60AB">
        <w:rPr>
          <w:rFonts w:eastAsia="Times New Roman"/>
          <w:color w:val="000000"/>
        </w:rPr>
        <w:t xml:space="preserve"> (0 to 1000) and the percentage correct for each comprehension question across conditions.  </w:t>
      </w:r>
    </w:p>
    <w:p w14:paraId="2B232B36" w14:textId="214E9582" w:rsidR="00AB60AB" w:rsidRPr="00B26772" w:rsidRDefault="00AB60AB" w:rsidP="00AB60AB">
      <w:pPr>
        <w:spacing w:line="480" w:lineRule="auto"/>
        <w:contextualSpacing/>
        <w:jc w:val="center"/>
        <w:rPr>
          <w:rFonts w:eastAsia="Times New Roman"/>
          <w:color w:val="000000"/>
        </w:rPr>
      </w:pPr>
      <w:r>
        <w:rPr>
          <w:rFonts w:eastAsia="Times New Roman"/>
          <w:color w:val="000000"/>
        </w:rPr>
        <w:t>[Insert Table 2 about here]</w:t>
      </w:r>
    </w:p>
    <w:p w14:paraId="64DBA087" w14:textId="6364C4B8" w:rsidR="00CF4B60" w:rsidRPr="00B26772" w:rsidRDefault="00CF4B60" w:rsidP="002908C7">
      <w:pPr>
        <w:spacing w:line="480" w:lineRule="auto"/>
        <w:ind w:firstLine="720"/>
        <w:contextualSpacing/>
        <w:jc w:val="left"/>
        <w:rPr>
          <w:rFonts w:eastAsia="Times New Roman"/>
          <w:color w:val="000000"/>
        </w:rPr>
      </w:pPr>
      <w:r w:rsidRPr="00B26772">
        <w:rPr>
          <w:rFonts w:eastAsia="Times New Roman"/>
          <w:color w:val="000000"/>
        </w:rPr>
        <w:lastRenderedPageBreak/>
        <w:t>In the single-risk condition, ANCOVA was used to assess the effect of pictographs on probability comprehension. The model included age, gender, education, and familiarity with vaccines as possible covariates; however, only education reached significance (</w:t>
      </w:r>
      <w:r w:rsidRPr="00B26772">
        <w:rPr>
          <w:rFonts w:eastAsia="Times New Roman"/>
          <w:i/>
          <w:iCs/>
          <w:color w:val="000000"/>
        </w:rPr>
        <w:t>F</w:t>
      </w:r>
      <w:r w:rsidRPr="00B26772">
        <w:rPr>
          <w:rFonts w:eastAsia="Times New Roman"/>
          <w:color w:val="000000"/>
        </w:rPr>
        <w:t>(1, 134) = 4.67, </w:t>
      </w:r>
      <w:r w:rsidRPr="00B26772">
        <w:rPr>
          <w:rFonts w:eastAsia="Times New Roman"/>
          <w:i/>
          <w:iCs/>
          <w:color w:val="000000"/>
        </w:rPr>
        <w:t>p</w:t>
      </w:r>
      <w:r w:rsidRPr="00B26772">
        <w:rPr>
          <w:rFonts w:eastAsia="Times New Roman"/>
          <w:color w:val="000000"/>
        </w:rPr>
        <w:t> = .032) and was positively associated with probability comprehension (</w:t>
      </w:r>
      <w:r w:rsidRPr="00B26772">
        <w:rPr>
          <w:rFonts w:eastAsia="Times New Roman"/>
          <w:i/>
          <w:iCs/>
          <w:color w:val="000000"/>
        </w:rPr>
        <w:t>Beta</w:t>
      </w:r>
      <w:r w:rsidRPr="00B26772">
        <w:rPr>
          <w:rFonts w:eastAsia="Times New Roman"/>
          <w:color w:val="000000"/>
        </w:rPr>
        <w:t> = .121, </w:t>
      </w:r>
      <w:r w:rsidRPr="00B26772">
        <w:rPr>
          <w:rFonts w:eastAsia="Times New Roman"/>
          <w:i/>
          <w:iCs/>
          <w:color w:val="000000"/>
        </w:rPr>
        <w:t>SE</w:t>
      </w:r>
      <w:r w:rsidRPr="00B26772">
        <w:rPr>
          <w:rFonts w:eastAsia="Times New Roman"/>
          <w:color w:val="000000"/>
        </w:rPr>
        <w:t> = .056). The presence (vs. absence) of a pictograph did not have a significant effect on probability comprehension, </w:t>
      </w:r>
      <w:r w:rsidRPr="00B26772">
        <w:rPr>
          <w:rFonts w:eastAsia="Times New Roman"/>
          <w:i/>
          <w:iCs/>
          <w:color w:val="000000"/>
        </w:rPr>
        <w:t>F</w:t>
      </w:r>
      <w:r w:rsidRPr="00B26772">
        <w:rPr>
          <w:rFonts w:eastAsia="Times New Roman"/>
          <w:color w:val="000000"/>
        </w:rPr>
        <w:t>(1, 134) = .024, </w:t>
      </w:r>
      <w:r w:rsidRPr="00B26772">
        <w:rPr>
          <w:rFonts w:eastAsia="Times New Roman"/>
          <w:i/>
          <w:iCs/>
          <w:color w:val="000000"/>
        </w:rPr>
        <w:t>p</w:t>
      </w:r>
      <w:r w:rsidRPr="00B26772">
        <w:rPr>
          <w:rFonts w:eastAsia="Times New Roman"/>
          <w:color w:val="000000"/>
        </w:rPr>
        <w:t xml:space="preserve"> = .876. Probability comprehension </w:t>
      </w:r>
      <w:r w:rsidR="00E7224A" w:rsidRPr="00B26772">
        <w:rPr>
          <w:rFonts w:eastAsia="Times New Roman"/>
          <w:color w:val="000000"/>
        </w:rPr>
        <w:t>in the presence of</w:t>
      </w:r>
      <w:r w:rsidRPr="00B26772">
        <w:rPr>
          <w:rFonts w:eastAsia="Times New Roman"/>
          <w:color w:val="000000"/>
        </w:rPr>
        <w:t xml:space="preserve"> a pictograph (</w:t>
      </w:r>
      <w:r w:rsidRPr="00B26772">
        <w:rPr>
          <w:rFonts w:eastAsia="Times New Roman"/>
          <w:i/>
          <w:iCs/>
          <w:color w:val="000000"/>
        </w:rPr>
        <w:t>M</w:t>
      </w:r>
      <w:r w:rsidRPr="00C43735">
        <w:rPr>
          <w:rFonts w:eastAsia="Times New Roman"/>
          <w:i/>
          <w:color w:val="000000"/>
        </w:rPr>
        <w:t>(</w:t>
      </w:r>
      <w:r w:rsidR="00C43735">
        <w:rPr>
          <w:rFonts w:eastAsia="Times New Roman"/>
          <w:i/>
          <w:color w:val="000000"/>
        </w:rPr>
        <w:t>correct</w:t>
      </w:r>
      <w:r w:rsidRPr="00C43735">
        <w:rPr>
          <w:rFonts w:eastAsia="Times New Roman"/>
          <w:i/>
          <w:color w:val="000000"/>
        </w:rPr>
        <w:t>)</w:t>
      </w:r>
      <w:r w:rsidRPr="00B26772">
        <w:rPr>
          <w:rFonts w:eastAsia="Times New Roman"/>
          <w:i/>
          <w:iCs/>
          <w:color w:val="000000"/>
        </w:rPr>
        <w:t> </w:t>
      </w:r>
      <w:r w:rsidRPr="00B26772">
        <w:rPr>
          <w:rFonts w:eastAsia="Times New Roman"/>
          <w:color w:val="000000"/>
        </w:rPr>
        <w:t>= 83.82%, </w:t>
      </w:r>
      <w:r w:rsidRPr="00B26772">
        <w:rPr>
          <w:rFonts w:eastAsia="Times New Roman"/>
          <w:i/>
          <w:iCs/>
          <w:color w:val="000000"/>
        </w:rPr>
        <w:t>SD</w:t>
      </w:r>
      <w:r w:rsidRPr="00B26772">
        <w:rPr>
          <w:rFonts w:eastAsia="Times New Roman"/>
          <w:color w:val="000000"/>
        </w:rPr>
        <w:t> = 37.01%) was not significantly different than in the absence of a pictograph (</w:t>
      </w:r>
      <w:r w:rsidRPr="00B26772">
        <w:rPr>
          <w:rFonts w:eastAsia="Times New Roman"/>
          <w:i/>
          <w:iCs/>
          <w:color w:val="000000"/>
        </w:rPr>
        <w:t>M</w:t>
      </w:r>
      <w:r w:rsidRPr="00C43735">
        <w:rPr>
          <w:rFonts w:eastAsia="Times New Roman"/>
          <w:i/>
          <w:color w:val="000000"/>
        </w:rPr>
        <w:t>(</w:t>
      </w:r>
      <w:r w:rsidR="00C43735">
        <w:rPr>
          <w:rFonts w:eastAsia="Times New Roman"/>
          <w:i/>
          <w:color w:val="000000"/>
        </w:rPr>
        <w:t>correct</w:t>
      </w:r>
      <w:r w:rsidRPr="00C43735">
        <w:rPr>
          <w:rFonts w:eastAsia="Times New Roman"/>
          <w:i/>
          <w:color w:val="000000"/>
        </w:rPr>
        <w:t>)</w:t>
      </w:r>
      <w:r w:rsidRPr="00B26772">
        <w:rPr>
          <w:rFonts w:eastAsia="Times New Roman"/>
          <w:i/>
          <w:iCs/>
          <w:color w:val="000000"/>
        </w:rPr>
        <w:t> </w:t>
      </w:r>
      <w:r w:rsidRPr="00B26772">
        <w:rPr>
          <w:rFonts w:eastAsia="Times New Roman"/>
          <w:color w:val="000000"/>
        </w:rPr>
        <w:t>= 80.56%, </w:t>
      </w:r>
      <w:r w:rsidRPr="00B26772">
        <w:rPr>
          <w:rFonts w:eastAsia="Times New Roman"/>
          <w:i/>
          <w:iCs/>
          <w:color w:val="000000"/>
        </w:rPr>
        <w:t>SD</w:t>
      </w:r>
      <w:r w:rsidRPr="00B26772">
        <w:rPr>
          <w:rFonts w:eastAsia="Times New Roman"/>
          <w:color w:val="000000"/>
        </w:rPr>
        <w:t xml:space="preserve"> = 39.86%). </w:t>
      </w:r>
      <w:bookmarkStart w:id="8" w:name="_Hlk499904288"/>
      <w:r w:rsidR="002C31BB">
        <w:rPr>
          <w:rFonts w:eastAsia="Times New Roman"/>
          <w:color w:val="000000"/>
        </w:rPr>
        <w:t xml:space="preserve">The </w:t>
      </w:r>
      <w:r w:rsidR="008A7688">
        <w:rPr>
          <w:rFonts w:eastAsia="Times New Roman"/>
          <w:color w:val="000000"/>
        </w:rPr>
        <w:t>mean</w:t>
      </w:r>
      <w:r w:rsidR="00887D2D" w:rsidRPr="00B26772">
        <w:rPr>
          <w:rFonts w:eastAsia="Times New Roman"/>
          <w:color w:val="000000"/>
        </w:rPr>
        <w:t xml:space="preserve"> estimates were nearer the correct </w:t>
      </w:r>
      <w:r w:rsidR="00DF14DB" w:rsidRPr="00B26772">
        <w:rPr>
          <w:rFonts w:eastAsia="Times New Roman"/>
          <w:color w:val="000000"/>
        </w:rPr>
        <w:t xml:space="preserve">response </w:t>
      </w:r>
      <w:r w:rsidR="00CC3609" w:rsidRPr="00B26772">
        <w:rPr>
          <w:rFonts w:eastAsia="Times New Roman"/>
          <w:color w:val="000000"/>
        </w:rPr>
        <w:t>(</w:t>
      </w:r>
      <w:r w:rsidR="0029254A">
        <w:rPr>
          <w:rFonts w:eastAsia="Times New Roman"/>
          <w:color w:val="000000"/>
        </w:rPr>
        <w:t xml:space="preserve">of </w:t>
      </w:r>
      <w:r w:rsidR="00CC3609" w:rsidRPr="00B26772">
        <w:rPr>
          <w:rFonts w:eastAsia="Times New Roman"/>
          <w:color w:val="000000"/>
        </w:rPr>
        <w:t xml:space="preserve">200) </w:t>
      </w:r>
      <w:r w:rsidR="00DF14DB" w:rsidRPr="00B26772">
        <w:rPr>
          <w:rFonts w:eastAsia="Times New Roman"/>
          <w:color w:val="000000"/>
        </w:rPr>
        <w:t>to the comprehension question</w:t>
      </w:r>
      <w:r w:rsidR="00887D2D" w:rsidRPr="00B26772">
        <w:rPr>
          <w:rFonts w:eastAsia="Times New Roman"/>
          <w:color w:val="000000"/>
        </w:rPr>
        <w:t xml:space="preserve"> in the presence (</w:t>
      </w:r>
      <w:r w:rsidR="00887D2D" w:rsidRPr="00B26772">
        <w:rPr>
          <w:rFonts w:eastAsia="Times New Roman"/>
          <w:i/>
          <w:color w:val="000000"/>
        </w:rPr>
        <w:t>M</w:t>
      </w:r>
      <w:r w:rsidR="00887D2D" w:rsidRPr="00B26772">
        <w:rPr>
          <w:rFonts w:eastAsia="Times New Roman"/>
          <w:color w:val="000000"/>
        </w:rPr>
        <w:t xml:space="preserve"> = 186.28, </w:t>
      </w:r>
      <w:r w:rsidR="00887D2D" w:rsidRPr="00B26772">
        <w:rPr>
          <w:rFonts w:eastAsia="Times New Roman"/>
          <w:i/>
          <w:color w:val="000000"/>
        </w:rPr>
        <w:t>SD</w:t>
      </w:r>
      <w:r w:rsidR="00887D2D" w:rsidRPr="00B26772">
        <w:rPr>
          <w:rFonts w:eastAsia="Times New Roman"/>
          <w:color w:val="000000"/>
        </w:rPr>
        <w:t xml:space="preserve"> = 71.96) versus absence (</w:t>
      </w:r>
      <w:r w:rsidR="00887D2D" w:rsidRPr="00B26772">
        <w:rPr>
          <w:rFonts w:eastAsia="Times New Roman"/>
          <w:i/>
          <w:color w:val="000000"/>
        </w:rPr>
        <w:t xml:space="preserve">M </w:t>
      </w:r>
      <w:r w:rsidR="00887D2D" w:rsidRPr="00B26772">
        <w:rPr>
          <w:rFonts w:eastAsia="Times New Roman"/>
          <w:color w:val="000000"/>
        </w:rPr>
        <w:t xml:space="preserve">= 179.79, </w:t>
      </w:r>
      <w:r w:rsidR="00887D2D" w:rsidRPr="00B26772">
        <w:rPr>
          <w:rFonts w:eastAsia="Times New Roman"/>
          <w:i/>
          <w:color w:val="000000"/>
        </w:rPr>
        <w:t>SD</w:t>
      </w:r>
      <w:r w:rsidR="00887D2D" w:rsidRPr="00B26772">
        <w:rPr>
          <w:rFonts w:eastAsia="Times New Roman"/>
          <w:color w:val="000000"/>
        </w:rPr>
        <w:t xml:space="preserve"> = 86.58) of pictographs; however, this difference is not significant (</w:t>
      </w:r>
      <w:r w:rsidR="00887D2D" w:rsidRPr="00B26772">
        <w:rPr>
          <w:rFonts w:eastAsia="Times New Roman"/>
          <w:i/>
          <w:color w:val="000000"/>
        </w:rPr>
        <w:t>p</w:t>
      </w:r>
      <w:r w:rsidR="00887D2D" w:rsidRPr="00B26772">
        <w:rPr>
          <w:rFonts w:eastAsia="Times New Roman"/>
          <w:color w:val="000000"/>
        </w:rPr>
        <w:t xml:space="preserve"> = .63</w:t>
      </w:r>
      <w:r w:rsidR="00DD69E1" w:rsidRPr="00B26772">
        <w:rPr>
          <w:rFonts w:eastAsia="Times New Roman"/>
          <w:color w:val="000000"/>
        </w:rPr>
        <w:t xml:space="preserve">; </w:t>
      </w:r>
      <w:r w:rsidR="002C31BB">
        <w:rPr>
          <w:rFonts w:eastAsia="Times New Roman"/>
          <w:color w:val="000000"/>
        </w:rPr>
        <w:t>Table 2</w:t>
      </w:r>
      <w:r w:rsidR="00887D2D" w:rsidRPr="00B26772">
        <w:rPr>
          <w:rFonts w:eastAsia="Times New Roman"/>
          <w:color w:val="000000"/>
        </w:rPr>
        <w:t xml:space="preserve">). </w:t>
      </w:r>
      <w:bookmarkEnd w:id="8"/>
    </w:p>
    <w:p w14:paraId="6B18CA03" w14:textId="6E486804" w:rsidR="00E347D8" w:rsidRDefault="00CF4B60" w:rsidP="00E347D8">
      <w:pPr>
        <w:spacing w:line="480" w:lineRule="auto"/>
        <w:ind w:firstLine="720"/>
        <w:contextualSpacing/>
        <w:jc w:val="left"/>
        <w:rPr>
          <w:color w:val="000000"/>
        </w:rPr>
      </w:pPr>
      <w:r w:rsidRPr="00B26772">
        <w:rPr>
          <w:rFonts w:eastAsia="Times New Roman"/>
          <w:color w:val="000000"/>
        </w:rPr>
        <w:t>In the multiple-risk condition, ANCOVA was used to assess the effect of pictographs on probability comprehension. The model included age, gender, education, and familiarity with vaccines as possible covariates; however, none reached significance (</w:t>
      </w:r>
      <w:r w:rsidRPr="00B26772">
        <w:rPr>
          <w:rFonts w:eastAsia="Times New Roman"/>
          <w:i/>
          <w:iCs/>
          <w:color w:val="000000"/>
        </w:rPr>
        <w:t>p</w:t>
      </w:r>
      <w:r w:rsidRPr="00B26772">
        <w:rPr>
          <w:rFonts w:eastAsia="Times New Roman"/>
          <w:color w:val="000000"/>
        </w:rPr>
        <w:t xml:space="preserve">’s &gt; .11). The presence (vs. absence) of </w:t>
      </w:r>
      <w:r w:rsidR="001166B5" w:rsidRPr="00B26772">
        <w:rPr>
          <w:rFonts w:eastAsia="Times New Roman"/>
          <w:color w:val="000000"/>
        </w:rPr>
        <w:t>pictographs</w:t>
      </w:r>
      <w:r w:rsidRPr="00B26772">
        <w:rPr>
          <w:rFonts w:eastAsia="Times New Roman"/>
          <w:color w:val="000000"/>
        </w:rPr>
        <w:t xml:space="preserve"> had a significant effect on probability comprehension, </w:t>
      </w:r>
      <w:r w:rsidRPr="00B26772">
        <w:rPr>
          <w:rFonts w:eastAsia="Times New Roman"/>
          <w:i/>
          <w:iCs/>
          <w:color w:val="000000"/>
        </w:rPr>
        <w:t>F</w:t>
      </w:r>
      <w:r w:rsidRPr="00B26772">
        <w:rPr>
          <w:rFonts w:eastAsia="Times New Roman"/>
          <w:color w:val="000000"/>
        </w:rPr>
        <w:t>(1, 136) = 4.75, </w:t>
      </w:r>
      <w:r w:rsidRPr="00B26772">
        <w:rPr>
          <w:rFonts w:eastAsia="Times New Roman"/>
          <w:i/>
          <w:iCs/>
          <w:color w:val="000000"/>
        </w:rPr>
        <w:t>p</w:t>
      </w:r>
      <w:r w:rsidRPr="00B26772">
        <w:rPr>
          <w:rFonts w:eastAsia="Times New Roman"/>
          <w:color w:val="000000"/>
        </w:rPr>
        <w:t> = .031. Probability comprehension was higher in the presence of pictographs (</w:t>
      </w:r>
      <w:r w:rsidRPr="00B26772">
        <w:rPr>
          <w:rFonts w:eastAsia="Times New Roman"/>
          <w:i/>
          <w:iCs/>
          <w:color w:val="000000"/>
        </w:rPr>
        <w:t>M</w:t>
      </w:r>
      <w:r w:rsidRPr="00592867">
        <w:rPr>
          <w:rFonts w:eastAsia="Times New Roman"/>
          <w:i/>
          <w:color w:val="000000"/>
        </w:rPr>
        <w:t>(</w:t>
      </w:r>
      <w:r w:rsidR="00592867" w:rsidRPr="00592867">
        <w:rPr>
          <w:rFonts w:eastAsia="Times New Roman"/>
          <w:i/>
          <w:color w:val="000000"/>
        </w:rPr>
        <w:t>correct</w:t>
      </w:r>
      <w:r w:rsidRPr="00592867">
        <w:rPr>
          <w:rFonts w:eastAsia="Times New Roman"/>
          <w:i/>
          <w:color w:val="000000"/>
        </w:rPr>
        <w:t xml:space="preserve">) </w:t>
      </w:r>
      <w:r w:rsidRPr="00B26772">
        <w:rPr>
          <w:rFonts w:eastAsia="Times New Roman"/>
          <w:color w:val="000000"/>
        </w:rPr>
        <w:t>= 86.43%, </w:t>
      </w:r>
      <w:r w:rsidRPr="00B26772">
        <w:rPr>
          <w:rFonts w:eastAsia="Times New Roman"/>
          <w:i/>
          <w:iCs/>
          <w:color w:val="000000"/>
        </w:rPr>
        <w:t>SD</w:t>
      </w:r>
      <w:r w:rsidRPr="00B26772">
        <w:rPr>
          <w:rFonts w:eastAsia="Times New Roman"/>
          <w:color w:val="000000"/>
        </w:rPr>
        <w:t> = 39.08%) than in their absence (</w:t>
      </w:r>
      <w:r w:rsidRPr="00B26772">
        <w:rPr>
          <w:rFonts w:eastAsia="Times New Roman"/>
          <w:i/>
          <w:iCs/>
          <w:color w:val="000000"/>
        </w:rPr>
        <w:t>M</w:t>
      </w:r>
      <w:r w:rsidRPr="00592867">
        <w:rPr>
          <w:rFonts w:eastAsia="Times New Roman"/>
          <w:i/>
          <w:color w:val="000000"/>
        </w:rPr>
        <w:t>(</w:t>
      </w:r>
      <w:r w:rsidR="00592867" w:rsidRPr="00592867">
        <w:rPr>
          <w:rFonts w:eastAsia="Times New Roman"/>
          <w:i/>
          <w:color w:val="000000"/>
        </w:rPr>
        <w:t>correct</w:t>
      </w:r>
      <w:r w:rsidRPr="00592867">
        <w:rPr>
          <w:rFonts w:eastAsia="Times New Roman"/>
          <w:i/>
          <w:color w:val="000000"/>
        </w:rPr>
        <w:t>)</w:t>
      </w:r>
      <w:r w:rsidRPr="00B26772">
        <w:rPr>
          <w:rFonts w:eastAsia="Times New Roman"/>
          <w:i/>
          <w:iCs/>
          <w:color w:val="000000"/>
        </w:rPr>
        <w:t> </w:t>
      </w:r>
      <w:r w:rsidRPr="00B26772">
        <w:rPr>
          <w:rFonts w:eastAsia="Times New Roman"/>
          <w:color w:val="000000"/>
        </w:rPr>
        <w:t>= 73.61%, </w:t>
      </w:r>
      <w:r w:rsidRPr="00B26772">
        <w:rPr>
          <w:rFonts w:eastAsia="Times New Roman"/>
          <w:i/>
          <w:iCs/>
          <w:color w:val="000000"/>
        </w:rPr>
        <w:t>SD</w:t>
      </w:r>
      <w:r w:rsidR="00DF14DB" w:rsidRPr="00B26772">
        <w:rPr>
          <w:rFonts w:eastAsia="Times New Roman"/>
          <w:color w:val="000000"/>
        </w:rPr>
        <w:t> = 37.73%</w:t>
      </w:r>
      <w:r w:rsidRPr="00B26772">
        <w:rPr>
          <w:rFonts w:eastAsia="Times New Roman"/>
          <w:color w:val="000000"/>
        </w:rPr>
        <w:t>).</w:t>
      </w:r>
      <w:r w:rsidR="00DF14DB" w:rsidRPr="00B26772">
        <w:rPr>
          <w:rFonts w:eastAsia="Times New Roman"/>
          <w:color w:val="000000"/>
        </w:rPr>
        <w:t xml:space="preserve"> </w:t>
      </w:r>
      <w:r w:rsidR="002B514C" w:rsidRPr="00B26772">
        <w:rPr>
          <w:color w:val="000000"/>
        </w:rPr>
        <w:t xml:space="preserve">Figure 2 illustrates the percentage </w:t>
      </w:r>
      <w:r w:rsidR="0029254A">
        <w:rPr>
          <w:color w:val="000000"/>
        </w:rPr>
        <w:t>of</w:t>
      </w:r>
      <w:r w:rsidR="002B514C" w:rsidRPr="00B26772">
        <w:rPr>
          <w:color w:val="000000"/>
        </w:rPr>
        <w:t xml:space="preserve"> participants </w:t>
      </w:r>
      <w:r w:rsidR="0029254A">
        <w:rPr>
          <w:color w:val="000000"/>
        </w:rPr>
        <w:t xml:space="preserve">that </w:t>
      </w:r>
      <w:r w:rsidR="002B514C" w:rsidRPr="00B26772">
        <w:rPr>
          <w:color w:val="000000"/>
        </w:rPr>
        <w:t>correctly comprehended the probability of the side-effects reported in the single</w:t>
      </w:r>
      <w:r w:rsidR="00B145DE" w:rsidRPr="00B26772">
        <w:rPr>
          <w:color w:val="000000"/>
        </w:rPr>
        <w:t xml:space="preserve"> and multiple-risk</w:t>
      </w:r>
      <w:r w:rsidR="002B514C" w:rsidRPr="00B26772">
        <w:rPr>
          <w:color w:val="000000"/>
        </w:rPr>
        <w:t xml:space="preserve"> condition</w:t>
      </w:r>
      <w:r w:rsidR="00B145DE" w:rsidRPr="00B26772">
        <w:rPr>
          <w:color w:val="000000"/>
        </w:rPr>
        <w:t>s</w:t>
      </w:r>
      <w:r w:rsidR="002B514C" w:rsidRPr="00B26772">
        <w:rPr>
          <w:color w:val="000000"/>
        </w:rPr>
        <w:t xml:space="preserve"> in the presence (vs. absence) of pictographs. </w:t>
      </w:r>
    </w:p>
    <w:p w14:paraId="3E3E64B0" w14:textId="74B6FE68" w:rsidR="00E347D8" w:rsidRPr="00E347D8" w:rsidRDefault="00E347D8" w:rsidP="00E347D8">
      <w:pPr>
        <w:spacing w:line="480" w:lineRule="auto"/>
        <w:contextualSpacing/>
        <w:jc w:val="center"/>
        <w:rPr>
          <w:rFonts w:eastAsia="Times New Roman"/>
          <w:color w:val="000000"/>
        </w:rPr>
      </w:pPr>
      <w:r w:rsidRPr="00B26772">
        <w:rPr>
          <w:rFonts w:eastAsia="Times New Roman"/>
          <w:color w:val="000000"/>
        </w:rPr>
        <w:t>[Insert Figure 2 about here]</w:t>
      </w:r>
    </w:p>
    <w:p w14:paraId="2B5AD01D" w14:textId="6664335B" w:rsidR="00B145DE" w:rsidRPr="00E347D8" w:rsidRDefault="00D17D7A" w:rsidP="00E347D8">
      <w:pPr>
        <w:spacing w:line="480" w:lineRule="auto"/>
        <w:ind w:firstLine="720"/>
        <w:contextualSpacing/>
        <w:jc w:val="left"/>
        <w:rPr>
          <w:rFonts w:eastAsia="Times New Roman"/>
          <w:color w:val="000000"/>
        </w:rPr>
      </w:pPr>
      <w:r w:rsidRPr="00B26772">
        <w:rPr>
          <w:rFonts w:eastAsia="Times New Roman"/>
          <w:color w:val="000000"/>
        </w:rPr>
        <w:t>The results provide support for H1 and suggest that the presence</w:t>
      </w:r>
      <w:r w:rsidR="001166B5" w:rsidRPr="00B26772">
        <w:rPr>
          <w:rFonts w:eastAsia="Times New Roman"/>
          <w:color w:val="000000"/>
        </w:rPr>
        <w:t xml:space="preserve"> (vs. absence)</w:t>
      </w:r>
      <w:r w:rsidRPr="00B26772">
        <w:rPr>
          <w:rFonts w:eastAsia="Times New Roman"/>
          <w:color w:val="000000"/>
        </w:rPr>
        <w:t xml:space="preserve"> of pictographs increases probability comprehension for multiple-risk options but not for single-risk </w:t>
      </w:r>
      <w:r w:rsidRPr="00B26772">
        <w:rPr>
          <w:rFonts w:eastAsia="Times New Roman"/>
          <w:color w:val="000000"/>
        </w:rPr>
        <w:lastRenderedPageBreak/>
        <w:t xml:space="preserve">options. </w:t>
      </w:r>
      <w:bookmarkStart w:id="9" w:name="_Hlk499904392"/>
      <w:r w:rsidR="00B145DE" w:rsidRPr="00B26772">
        <w:rPr>
          <w:rFonts w:eastAsia="Times New Roman"/>
          <w:color w:val="000000"/>
        </w:rPr>
        <w:t xml:space="preserve">Post-hoc comparisons suggest that pictographs were especially helpful </w:t>
      </w:r>
      <w:r w:rsidR="00592867">
        <w:rPr>
          <w:rFonts w:eastAsia="Times New Roman"/>
          <w:color w:val="000000"/>
        </w:rPr>
        <w:t>in</w:t>
      </w:r>
      <w:r w:rsidR="00B145DE" w:rsidRPr="00B26772">
        <w:rPr>
          <w:rFonts w:eastAsia="Times New Roman"/>
          <w:color w:val="000000"/>
        </w:rPr>
        <w:t xml:space="preserve"> increasing comprehension of the smaller probabilities (</w:t>
      </w:r>
      <w:r w:rsidR="00E347D8">
        <w:rPr>
          <w:rFonts w:eastAsia="Times New Roman"/>
          <w:color w:val="000000"/>
        </w:rPr>
        <w:t>Table 2</w:t>
      </w:r>
      <w:r w:rsidR="00B145DE" w:rsidRPr="00B26772">
        <w:rPr>
          <w:rFonts w:eastAsia="Times New Roman"/>
          <w:color w:val="000000"/>
        </w:rPr>
        <w:t>)</w:t>
      </w:r>
      <w:r w:rsidR="00592867">
        <w:rPr>
          <w:rFonts w:eastAsia="Times New Roman"/>
          <w:color w:val="000000"/>
        </w:rPr>
        <w:t>; in</w:t>
      </w:r>
      <w:r w:rsidR="00B145DE" w:rsidRPr="00B26772">
        <w:rPr>
          <w:color w:val="000000"/>
        </w:rPr>
        <w:t xml:space="preserve"> the multiple-risk condition, the probability of correctly comprehending the </w:t>
      </w:r>
      <w:r w:rsidR="0029254A">
        <w:rPr>
          <w:color w:val="000000"/>
        </w:rPr>
        <w:t>“</w:t>
      </w:r>
      <w:r w:rsidR="00B145DE" w:rsidRPr="00B26772">
        <w:rPr>
          <w:color w:val="000000"/>
        </w:rPr>
        <w:t>1 in 20</w:t>
      </w:r>
      <w:r w:rsidR="0029254A">
        <w:rPr>
          <w:color w:val="000000"/>
        </w:rPr>
        <w:t>”</w:t>
      </w:r>
      <w:r w:rsidR="00B145DE" w:rsidRPr="00B26772">
        <w:rPr>
          <w:color w:val="000000"/>
        </w:rPr>
        <w:t xml:space="preserve"> probability of vomiting was 87.1% in the presence of pictographs and 73.6% in the</w:t>
      </w:r>
      <w:r w:rsidR="00E347D8">
        <w:rPr>
          <w:color w:val="000000"/>
        </w:rPr>
        <w:t>ir</w:t>
      </w:r>
      <w:r w:rsidR="00B145DE" w:rsidRPr="00B26772">
        <w:rPr>
          <w:color w:val="000000"/>
        </w:rPr>
        <w:t xml:space="preserve"> absence</w:t>
      </w:r>
      <w:r w:rsidR="007A30A2">
        <w:rPr>
          <w:color w:val="000000"/>
        </w:rPr>
        <w:t xml:space="preserve">, </w:t>
      </w:r>
      <w:r w:rsidR="0065741F">
        <w:rPr>
          <w:i/>
          <w:color w:val="000000"/>
        </w:rPr>
        <w:t>χ</w:t>
      </w:r>
      <w:r w:rsidR="0065741F" w:rsidRPr="0065741F">
        <w:rPr>
          <w:i/>
          <w:color w:val="000000"/>
          <w:vertAlign w:val="superscript"/>
        </w:rPr>
        <w:t>2</w:t>
      </w:r>
      <w:r w:rsidR="00B145DE" w:rsidRPr="00B26772">
        <w:rPr>
          <w:color w:val="000000"/>
        </w:rPr>
        <w:t xml:space="preserve">(1, </w:t>
      </w:r>
      <w:r w:rsidR="00B145DE" w:rsidRPr="00B26772">
        <w:rPr>
          <w:i/>
          <w:color w:val="000000"/>
        </w:rPr>
        <w:t>N</w:t>
      </w:r>
      <w:r w:rsidR="00B145DE" w:rsidRPr="00B26772">
        <w:rPr>
          <w:color w:val="000000"/>
        </w:rPr>
        <w:t xml:space="preserve"> = 142) = 4.11, </w:t>
      </w:r>
      <w:r w:rsidR="00B145DE" w:rsidRPr="00B26772">
        <w:rPr>
          <w:i/>
          <w:color w:val="000000"/>
        </w:rPr>
        <w:t>p</w:t>
      </w:r>
      <w:r w:rsidR="00B145DE" w:rsidRPr="00B26772">
        <w:rPr>
          <w:color w:val="000000"/>
        </w:rPr>
        <w:t xml:space="preserve"> = .034; and the probability of correctly comprehending the </w:t>
      </w:r>
      <w:r w:rsidR="0029254A">
        <w:rPr>
          <w:color w:val="000000"/>
        </w:rPr>
        <w:t>“</w:t>
      </w:r>
      <w:r w:rsidR="00B145DE" w:rsidRPr="00B26772">
        <w:rPr>
          <w:color w:val="000000"/>
        </w:rPr>
        <w:t>1 in 50</w:t>
      </w:r>
      <w:r w:rsidR="0029254A">
        <w:rPr>
          <w:color w:val="000000"/>
        </w:rPr>
        <w:t>”</w:t>
      </w:r>
      <w:r w:rsidR="00B145DE" w:rsidRPr="00B26772">
        <w:rPr>
          <w:color w:val="000000"/>
        </w:rPr>
        <w:t xml:space="preserve"> probability of high fever was 78.6% in the presence of pictographs and 63.9% in the</w:t>
      </w:r>
      <w:r w:rsidR="00E347D8">
        <w:rPr>
          <w:color w:val="000000"/>
        </w:rPr>
        <w:t>ir absence</w:t>
      </w:r>
      <w:r w:rsidR="007A30A2">
        <w:rPr>
          <w:color w:val="000000"/>
        </w:rPr>
        <w:t xml:space="preserve">, </w:t>
      </w:r>
      <w:r w:rsidR="0065741F">
        <w:rPr>
          <w:i/>
          <w:color w:val="000000"/>
        </w:rPr>
        <w:t>χ</w:t>
      </w:r>
      <w:r w:rsidR="0065741F" w:rsidRPr="0065741F">
        <w:rPr>
          <w:i/>
          <w:color w:val="000000"/>
          <w:vertAlign w:val="superscript"/>
        </w:rPr>
        <w:t>2</w:t>
      </w:r>
      <w:r w:rsidR="00B145DE" w:rsidRPr="00B26772">
        <w:rPr>
          <w:color w:val="000000"/>
        </w:rPr>
        <w:t xml:space="preserve">(1, </w:t>
      </w:r>
      <w:r w:rsidR="00B145DE" w:rsidRPr="00B26772">
        <w:rPr>
          <w:i/>
          <w:color w:val="000000"/>
        </w:rPr>
        <w:t>N</w:t>
      </w:r>
      <w:r w:rsidR="00B145DE" w:rsidRPr="00B26772">
        <w:rPr>
          <w:color w:val="000000"/>
        </w:rPr>
        <w:t xml:space="preserve"> = 142) = 3.73, </w:t>
      </w:r>
      <w:r w:rsidR="00B145DE" w:rsidRPr="00B26772">
        <w:rPr>
          <w:i/>
          <w:color w:val="000000"/>
        </w:rPr>
        <w:t>p</w:t>
      </w:r>
      <w:r w:rsidR="00B145DE" w:rsidRPr="00B26772">
        <w:rPr>
          <w:color w:val="000000"/>
        </w:rPr>
        <w:t xml:space="preserve"> = .054. Though beyond the scope of the present research, there is an opportunity for future research to compare the effect of pictographs on probability comprehension for smaller versus larger</w:t>
      </w:r>
      <w:r w:rsidR="007A30A2">
        <w:rPr>
          <w:color w:val="000000"/>
        </w:rPr>
        <w:t xml:space="preserve"> </w:t>
      </w:r>
      <w:r w:rsidR="00B145DE" w:rsidRPr="00B26772">
        <w:rPr>
          <w:color w:val="000000"/>
        </w:rPr>
        <w:t xml:space="preserve">probabilities.  </w:t>
      </w:r>
      <w:bookmarkEnd w:id="9"/>
    </w:p>
    <w:p w14:paraId="2596B961" w14:textId="77777777" w:rsidR="00CF4B60" w:rsidRPr="00B26772" w:rsidRDefault="00CF4B60" w:rsidP="002908C7">
      <w:pPr>
        <w:spacing w:line="480" w:lineRule="auto"/>
        <w:contextualSpacing/>
        <w:jc w:val="left"/>
        <w:rPr>
          <w:rFonts w:eastAsia="Times New Roman"/>
          <w:color w:val="000000"/>
        </w:rPr>
      </w:pPr>
      <w:r w:rsidRPr="00B26772">
        <w:rPr>
          <w:rFonts w:eastAsia="Times New Roman"/>
          <w:i/>
          <w:iCs/>
          <w:color w:val="000000"/>
        </w:rPr>
        <w:t>Risk Perception</w:t>
      </w:r>
    </w:p>
    <w:p w14:paraId="30DF59FD" w14:textId="4BD5A992" w:rsidR="00E47FB5" w:rsidRDefault="00CF4B60" w:rsidP="0023270E">
      <w:pPr>
        <w:spacing w:line="480" w:lineRule="auto"/>
        <w:ind w:firstLine="720"/>
        <w:contextualSpacing/>
        <w:jc w:val="left"/>
        <w:rPr>
          <w:rFonts w:eastAsia="Times New Roman"/>
          <w:color w:val="000000"/>
        </w:rPr>
      </w:pPr>
      <w:r w:rsidRPr="00B26772">
        <w:rPr>
          <w:rFonts w:eastAsia="Times New Roman"/>
          <w:color w:val="000000"/>
        </w:rPr>
        <w:t>The two items used to assess the perceived risk of the WE vaccine were averaged to create a measure of risk perception</w:t>
      </w:r>
      <w:r w:rsidR="006240BE">
        <w:rPr>
          <w:rFonts w:eastAsia="Times New Roman"/>
          <w:color w:val="000000"/>
        </w:rPr>
        <w:t>; p</w:t>
      </w:r>
      <w:r w:rsidRPr="00B26772">
        <w:rPr>
          <w:rFonts w:eastAsia="Times New Roman"/>
          <w:color w:val="000000"/>
        </w:rPr>
        <w:t>erforming the following analysis on each item individually does not appreciably change the results. A 2</w:t>
      </w:r>
      <w:r w:rsidR="00343963">
        <w:rPr>
          <w:rFonts w:eastAsia="Times New Roman"/>
          <w:color w:val="000000"/>
        </w:rPr>
        <w:t xml:space="preserve"> </w:t>
      </w:r>
      <w:r w:rsidRPr="00B26772">
        <w:rPr>
          <w:rFonts w:eastAsia="Times New Roman"/>
          <w:color w:val="000000"/>
        </w:rPr>
        <w:t>(pictograph: present vs. absent) x 2 (risk option: single</w:t>
      </w:r>
      <w:r w:rsidR="006240BE">
        <w:rPr>
          <w:rFonts w:eastAsia="Times New Roman"/>
          <w:color w:val="000000"/>
        </w:rPr>
        <w:t>-risk</w:t>
      </w:r>
      <w:r w:rsidRPr="00B26772">
        <w:rPr>
          <w:rFonts w:eastAsia="Times New Roman"/>
          <w:color w:val="000000"/>
        </w:rPr>
        <w:t xml:space="preserve"> vs. multiple</w:t>
      </w:r>
      <w:r w:rsidR="006240BE">
        <w:rPr>
          <w:rFonts w:eastAsia="Times New Roman"/>
          <w:color w:val="000000"/>
        </w:rPr>
        <w:t>-risk</w:t>
      </w:r>
      <w:r w:rsidRPr="00B26772">
        <w:rPr>
          <w:rFonts w:eastAsia="Times New Roman"/>
          <w:color w:val="000000"/>
        </w:rPr>
        <w:t>) ANCOVA was estimated on risk perception. The model included age, gender, education, and familiarity with vaccines as possible covariates; however, none reached significance (</w:t>
      </w:r>
      <w:r w:rsidRPr="00B26772">
        <w:rPr>
          <w:rFonts w:eastAsia="Times New Roman"/>
          <w:i/>
          <w:iCs/>
          <w:color w:val="000000"/>
        </w:rPr>
        <w:t>p</w:t>
      </w:r>
      <w:r w:rsidR="007A30A2">
        <w:rPr>
          <w:rFonts w:eastAsia="Times New Roman"/>
          <w:i/>
          <w:iCs/>
          <w:color w:val="000000"/>
        </w:rPr>
        <w:t>’</w:t>
      </w:r>
      <w:r w:rsidRPr="00B26772">
        <w:rPr>
          <w:rFonts w:eastAsia="Times New Roman"/>
          <w:color w:val="000000"/>
        </w:rPr>
        <w:t>s &gt; .11).</w:t>
      </w:r>
      <w:bookmarkStart w:id="10" w:name="_Hlk498678030"/>
      <w:r w:rsidR="0023270E">
        <w:rPr>
          <w:rFonts w:eastAsia="Times New Roman"/>
          <w:color w:val="000000"/>
        </w:rPr>
        <w:t xml:space="preserve"> </w:t>
      </w:r>
    </w:p>
    <w:p w14:paraId="19F3D358" w14:textId="1BE625C2" w:rsidR="00CF4B60" w:rsidRDefault="00D107BA" w:rsidP="0023270E">
      <w:pPr>
        <w:spacing w:line="480" w:lineRule="auto"/>
        <w:ind w:firstLine="720"/>
        <w:contextualSpacing/>
        <w:jc w:val="left"/>
        <w:rPr>
          <w:rFonts w:eastAsia="Times New Roman"/>
          <w:color w:val="000000"/>
        </w:rPr>
      </w:pPr>
      <w:r w:rsidRPr="00B26772">
        <w:rPr>
          <w:rFonts w:eastAsia="Times New Roman"/>
          <w:color w:val="000000"/>
        </w:rPr>
        <w:t>There was a</w:t>
      </w:r>
      <w:r w:rsidR="00CF4B60" w:rsidRPr="00B26772">
        <w:rPr>
          <w:rFonts w:eastAsia="Times New Roman"/>
          <w:color w:val="000000"/>
        </w:rPr>
        <w:t xml:space="preserve"> significant effect o</w:t>
      </w:r>
      <w:r w:rsidRPr="00B26772">
        <w:rPr>
          <w:rFonts w:eastAsia="Times New Roman"/>
          <w:color w:val="000000"/>
        </w:rPr>
        <w:t>f risk option (single</w:t>
      </w:r>
      <w:r w:rsidR="006240BE">
        <w:rPr>
          <w:rFonts w:eastAsia="Times New Roman"/>
          <w:color w:val="000000"/>
        </w:rPr>
        <w:t>-risk</w:t>
      </w:r>
      <w:r w:rsidRPr="00B26772">
        <w:rPr>
          <w:rFonts w:eastAsia="Times New Roman"/>
          <w:color w:val="000000"/>
        </w:rPr>
        <w:t xml:space="preserve"> vs. multiple</w:t>
      </w:r>
      <w:r w:rsidR="006240BE">
        <w:rPr>
          <w:rFonts w:eastAsia="Times New Roman"/>
          <w:color w:val="000000"/>
        </w:rPr>
        <w:t>-risk</w:t>
      </w:r>
      <w:r w:rsidRPr="00B26772">
        <w:rPr>
          <w:rFonts w:eastAsia="Times New Roman"/>
          <w:color w:val="000000"/>
        </w:rPr>
        <w:t>) on</w:t>
      </w:r>
      <w:r w:rsidR="00CF4B60" w:rsidRPr="00B26772">
        <w:rPr>
          <w:rFonts w:eastAsia="Times New Roman"/>
          <w:color w:val="000000"/>
        </w:rPr>
        <w:t xml:space="preserve"> risk perception, </w:t>
      </w:r>
      <w:r w:rsidR="00CF4B60" w:rsidRPr="00B26772">
        <w:rPr>
          <w:rFonts w:eastAsia="Times New Roman"/>
          <w:i/>
          <w:iCs/>
          <w:color w:val="000000"/>
        </w:rPr>
        <w:t>F</w:t>
      </w:r>
      <w:r w:rsidR="00CF4B60" w:rsidRPr="00B26772">
        <w:rPr>
          <w:rFonts w:eastAsia="Times New Roman"/>
          <w:color w:val="000000"/>
        </w:rPr>
        <w:t>(1, 273) = 12.83, </w:t>
      </w:r>
      <w:r w:rsidR="00CF4B60" w:rsidRPr="00B26772">
        <w:rPr>
          <w:rFonts w:eastAsia="Times New Roman"/>
          <w:i/>
          <w:iCs/>
          <w:color w:val="000000"/>
        </w:rPr>
        <w:t>p</w:t>
      </w:r>
      <w:r w:rsidR="00CF4B60" w:rsidRPr="00B26772">
        <w:rPr>
          <w:rFonts w:eastAsia="Times New Roman"/>
          <w:color w:val="000000"/>
        </w:rPr>
        <w:t xml:space="preserve"> &lt; .001. </w:t>
      </w:r>
      <w:bookmarkEnd w:id="10"/>
      <w:r w:rsidR="00386D46">
        <w:rPr>
          <w:rFonts w:eastAsia="Times New Roman"/>
          <w:color w:val="000000"/>
        </w:rPr>
        <w:t>As would be expected, r</w:t>
      </w:r>
      <w:r w:rsidR="00CF4B60" w:rsidRPr="00B26772">
        <w:rPr>
          <w:rFonts w:eastAsia="Times New Roman"/>
          <w:color w:val="000000"/>
        </w:rPr>
        <w:t>isk perception was higher in the multiple-risk condition (</w:t>
      </w:r>
      <w:r w:rsidR="00CF4B60" w:rsidRPr="00B26772">
        <w:rPr>
          <w:rFonts w:eastAsia="Times New Roman"/>
          <w:i/>
          <w:iCs/>
          <w:color w:val="000000"/>
        </w:rPr>
        <w:t>M </w:t>
      </w:r>
      <w:r w:rsidR="00CF4B60" w:rsidRPr="00B26772">
        <w:rPr>
          <w:rFonts w:eastAsia="Times New Roman"/>
          <w:color w:val="000000"/>
        </w:rPr>
        <w:t>= 29.23, </w:t>
      </w:r>
      <w:r w:rsidR="00CF4B60" w:rsidRPr="00B26772">
        <w:rPr>
          <w:rFonts w:eastAsia="Times New Roman"/>
          <w:i/>
          <w:iCs/>
          <w:color w:val="000000"/>
        </w:rPr>
        <w:t>SD</w:t>
      </w:r>
      <w:r w:rsidR="00CF4B60" w:rsidRPr="00B26772">
        <w:rPr>
          <w:rFonts w:eastAsia="Times New Roman"/>
          <w:color w:val="000000"/>
        </w:rPr>
        <w:t> = 27.28) than in the single-risk condition (</w:t>
      </w:r>
      <w:r w:rsidR="00CF4B60" w:rsidRPr="00B26772">
        <w:rPr>
          <w:rFonts w:eastAsia="Times New Roman"/>
          <w:i/>
          <w:iCs/>
          <w:color w:val="000000"/>
        </w:rPr>
        <w:t>M </w:t>
      </w:r>
      <w:r w:rsidR="00CF4B60" w:rsidRPr="00B26772">
        <w:rPr>
          <w:rFonts w:eastAsia="Times New Roman"/>
          <w:color w:val="000000"/>
        </w:rPr>
        <w:t>= 19.11, </w:t>
      </w:r>
      <w:r w:rsidR="00CF4B60" w:rsidRPr="00B26772">
        <w:rPr>
          <w:rFonts w:eastAsia="Times New Roman"/>
          <w:i/>
          <w:iCs/>
          <w:color w:val="000000"/>
        </w:rPr>
        <w:t>SD</w:t>
      </w:r>
      <w:r w:rsidR="00CF4B60" w:rsidRPr="00B26772">
        <w:rPr>
          <w:rFonts w:eastAsia="Times New Roman"/>
          <w:color w:val="000000"/>
        </w:rPr>
        <w:t> = 19.32). The presence (vs. absence) of pictographs did not have a main effect on risk perception</w:t>
      </w:r>
      <w:r w:rsidR="00981D3A" w:rsidRPr="00B26772">
        <w:rPr>
          <w:rFonts w:eastAsia="Times New Roman"/>
          <w:color w:val="000000"/>
        </w:rPr>
        <w:t>.</w:t>
      </w:r>
      <w:r w:rsidR="00CF4B60" w:rsidRPr="00B26772">
        <w:rPr>
          <w:rFonts w:eastAsia="Times New Roman"/>
          <w:color w:val="000000"/>
        </w:rPr>
        <w:t xml:space="preserve"> </w:t>
      </w:r>
      <w:r w:rsidR="00981D3A" w:rsidRPr="00B26772">
        <w:rPr>
          <w:rFonts w:eastAsia="Times New Roman"/>
          <w:color w:val="000000"/>
        </w:rPr>
        <w:t>R</w:t>
      </w:r>
      <w:r w:rsidR="00CF4B60" w:rsidRPr="00B26772">
        <w:rPr>
          <w:rFonts w:eastAsia="Times New Roman"/>
          <w:color w:val="000000"/>
        </w:rPr>
        <w:t>isk perception was lower in the presence (</w:t>
      </w:r>
      <w:r w:rsidR="00CF4B60" w:rsidRPr="00B26772">
        <w:rPr>
          <w:rFonts w:eastAsia="Times New Roman"/>
          <w:i/>
          <w:iCs/>
          <w:color w:val="000000"/>
        </w:rPr>
        <w:t>M</w:t>
      </w:r>
      <w:r w:rsidR="00CF4B60" w:rsidRPr="00B26772">
        <w:rPr>
          <w:rFonts w:eastAsia="Times New Roman"/>
          <w:color w:val="000000"/>
        </w:rPr>
        <w:t> = 22.03, </w:t>
      </w:r>
      <w:r w:rsidR="00CF4B60" w:rsidRPr="00B26772">
        <w:rPr>
          <w:rFonts w:eastAsia="Times New Roman"/>
          <w:i/>
          <w:iCs/>
          <w:color w:val="000000"/>
        </w:rPr>
        <w:t>SD</w:t>
      </w:r>
      <w:r w:rsidR="00CF4B60" w:rsidRPr="00B26772">
        <w:rPr>
          <w:rFonts w:eastAsia="Times New Roman"/>
          <w:color w:val="000000"/>
        </w:rPr>
        <w:t> = 23.16) versus absence (</w:t>
      </w:r>
      <w:r w:rsidR="00CF4B60" w:rsidRPr="00B26772">
        <w:rPr>
          <w:rFonts w:eastAsia="Times New Roman"/>
          <w:i/>
          <w:iCs/>
          <w:color w:val="000000"/>
        </w:rPr>
        <w:t>M</w:t>
      </w:r>
      <w:r w:rsidR="00CF4B60" w:rsidRPr="00B26772">
        <w:rPr>
          <w:rFonts w:eastAsia="Times New Roman"/>
          <w:color w:val="000000"/>
        </w:rPr>
        <w:t> = 26.29, </w:t>
      </w:r>
      <w:r w:rsidR="00CF4B60" w:rsidRPr="00B26772">
        <w:rPr>
          <w:rFonts w:eastAsia="Times New Roman"/>
          <w:i/>
          <w:iCs/>
          <w:color w:val="000000"/>
        </w:rPr>
        <w:t>SD</w:t>
      </w:r>
      <w:r w:rsidR="00CF4B60" w:rsidRPr="00B26772">
        <w:rPr>
          <w:rFonts w:eastAsia="Times New Roman"/>
          <w:color w:val="000000"/>
        </w:rPr>
        <w:t xml:space="preserve"> = 24.99) of pictographs; however, this difference </w:t>
      </w:r>
      <w:r w:rsidR="006240BE">
        <w:rPr>
          <w:rFonts w:eastAsia="Times New Roman"/>
          <w:color w:val="000000"/>
        </w:rPr>
        <w:t>is</w:t>
      </w:r>
      <w:r w:rsidR="00CF4B60" w:rsidRPr="00B26772">
        <w:rPr>
          <w:rFonts w:eastAsia="Times New Roman"/>
          <w:color w:val="000000"/>
        </w:rPr>
        <w:t xml:space="preserve"> not significant (</w:t>
      </w:r>
      <w:r w:rsidR="00CF4B60" w:rsidRPr="00B26772">
        <w:rPr>
          <w:rFonts w:eastAsia="Times New Roman"/>
          <w:i/>
          <w:iCs/>
          <w:color w:val="000000"/>
        </w:rPr>
        <w:t>p</w:t>
      </w:r>
      <w:r w:rsidR="00CF4B60" w:rsidRPr="00B26772">
        <w:rPr>
          <w:rFonts w:eastAsia="Times New Roman"/>
          <w:color w:val="000000"/>
        </w:rPr>
        <w:t xml:space="preserve"> = .11). This lack of significance is explained by an interaction between pictograph </w:t>
      </w:r>
      <w:r w:rsidR="00981D3A" w:rsidRPr="00B26772">
        <w:rPr>
          <w:rFonts w:eastAsia="Times New Roman"/>
          <w:color w:val="000000"/>
        </w:rPr>
        <w:t xml:space="preserve">(present vs. absent) </w:t>
      </w:r>
      <w:r w:rsidR="00CF4B60" w:rsidRPr="00B26772">
        <w:rPr>
          <w:rFonts w:eastAsia="Times New Roman"/>
          <w:color w:val="000000"/>
        </w:rPr>
        <w:t>and risk option</w:t>
      </w:r>
      <w:r w:rsidR="002229CB" w:rsidRPr="00B26772">
        <w:rPr>
          <w:rFonts w:eastAsia="Times New Roman"/>
          <w:color w:val="000000"/>
        </w:rPr>
        <w:t xml:space="preserve"> (single</w:t>
      </w:r>
      <w:r w:rsidR="006240BE">
        <w:rPr>
          <w:rFonts w:eastAsia="Times New Roman"/>
          <w:color w:val="000000"/>
        </w:rPr>
        <w:t>-risk</w:t>
      </w:r>
      <w:r w:rsidR="002229CB" w:rsidRPr="00B26772">
        <w:rPr>
          <w:rFonts w:eastAsia="Times New Roman"/>
          <w:color w:val="000000"/>
        </w:rPr>
        <w:t xml:space="preserve"> vs. multiple</w:t>
      </w:r>
      <w:r w:rsidR="006240BE">
        <w:rPr>
          <w:rFonts w:eastAsia="Times New Roman"/>
          <w:color w:val="000000"/>
        </w:rPr>
        <w:t>-risk</w:t>
      </w:r>
      <w:r w:rsidR="002229CB" w:rsidRPr="00B26772">
        <w:rPr>
          <w:rFonts w:eastAsia="Times New Roman"/>
          <w:color w:val="000000"/>
        </w:rPr>
        <w:t>)</w:t>
      </w:r>
      <w:r w:rsidR="00CF4B60" w:rsidRPr="00B26772">
        <w:rPr>
          <w:rFonts w:eastAsia="Times New Roman"/>
          <w:color w:val="000000"/>
        </w:rPr>
        <w:t>, </w:t>
      </w:r>
      <w:r w:rsidR="00CF4B60" w:rsidRPr="00B26772">
        <w:rPr>
          <w:rFonts w:eastAsia="Times New Roman"/>
          <w:i/>
          <w:iCs/>
          <w:color w:val="000000"/>
        </w:rPr>
        <w:t>F</w:t>
      </w:r>
      <w:r w:rsidR="00CF4B60" w:rsidRPr="00B26772">
        <w:rPr>
          <w:rFonts w:eastAsia="Times New Roman"/>
          <w:color w:val="000000"/>
        </w:rPr>
        <w:t>(1, 273) = 5.15, </w:t>
      </w:r>
      <w:r w:rsidR="00CF4B60" w:rsidRPr="00B26772">
        <w:rPr>
          <w:rFonts w:eastAsia="Times New Roman"/>
          <w:i/>
          <w:iCs/>
          <w:color w:val="000000"/>
        </w:rPr>
        <w:t>p</w:t>
      </w:r>
      <w:r w:rsidR="00CF4B60" w:rsidRPr="00B26772">
        <w:rPr>
          <w:rFonts w:eastAsia="Times New Roman"/>
          <w:color w:val="000000"/>
        </w:rPr>
        <w:t> = .024</w:t>
      </w:r>
      <w:r w:rsidR="007A30A2">
        <w:rPr>
          <w:rFonts w:eastAsia="Times New Roman"/>
          <w:color w:val="000000"/>
        </w:rPr>
        <w:t>; i</w:t>
      </w:r>
      <w:r w:rsidR="00CF4B60" w:rsidRPr="00B26772">
        <w:rPr>
          <w:rFonts w:eastAsia="Times New Roman"/>
          <w:color w:val="000000"/>
        </w:rPr>
        <w:t xml:space="preserve">n the single-risk condition, </w:t>
      </w:r>
      <w:r w:rsidR="00CF4B60" w:rsidRPr="00B26772">
        <w:rPr>
          <w:rFonts w:eastAsia="Times New Roman"/>
          <w:color w:val="000000"/>
        </w:rPr>
        <w:lastRenderedPageBreak/>
        <w:t>risk perception was not affected by the presence (</w:t>
      </w:r>
      <w:r w:rsidR="00CF4B60" w:rsidRPr="00B26772">
        <w:rPr>
          <w:rFonts w:eastAsia="Times New Roman"/>
          <w:i/>
          <w:iCs/>
          <w:color w:val="000000"/>
        </w:rPr>
        <w:t>M</w:t>
      </w:r>
      <w:r w:rsidR="00CF4B60" w:rsidRPr="00B26772">
        <w:rPr>
          <w:rFonts w:eastAsia="Times New Roman"/>
          <w:color w:val="000000"/>
        </w:rPr>
        <w:t> = 20.02, </w:t>
      </w:r>
      <w:r w:rsidR="00CF4B60" w:rsidRPr="00B26772">
        <w:rPr>
          <w:rFonts w:eastAsia="Times New Roman"/>
          <w:i/>
          <w:iCs/>
          <w:color w:val="000000"/>
        </w:rPr>
        <w:t>SD</w:t>
      </w:r>
      <w:r w:rsidR="00CF4B60" w:rsidRPr="00B26772">
        <w:rPr>
          <w:rFonts w:eastAsia="Times New Roman"/>
          <w:color w:val="000000"/>
        </w:rPr>
        <w:t> = 20.13) versus absence (</w:t>
      </w:r>
      <w:r w:rsidR="00CF4B60" w:rsidRPr="00B26772">
        <w:rPr>
          <w:rFonts w:eastAsia="Times New Roman"/>
          <w:i/>
          <w:iCs/>
          <w:color w:val="000000"/>
        </w:rPr>
        <w:t>M</w:t>
      </w:r>
      <w:r w:rsidR="00CF4B60" w:rsidRPr="00B26772">
        <w:rPr>
          <w:rFonts w:eastAsia="Times New Roman"/>
          <w:color w:val="000000"/>
        </w:rPr>
        <w:t> = 18.26, </w:t>
      </w:r>
      <w:r w:rsidR="00CF4B60" w:rsidRPr="00B26772">
        <w:rPr>
          <w:rFonts w:eastAsia="Times New Roman"/>
          <w:i/>
          <w:iCs/>
          <w:color w:val="000000"/>
        </w:rPr>
        <w:t>SD</w:t>
      </w:r>
      <w:r w:rsidR="00CF4B60" w:rsidRPr="00B26772">
        <w:rPr>
          <w:rFonts w:eastAsia="Times New Roman"/>
          <w:color w:val="000000"/>
        </w:rPr>
        <w:t> = 18.63) of pictographs, </w:t>
      </w:r>
      <w:r w:rsidR="00CF4B60" w:rsidRPr="00B26772">
        <w:rPr>
          <w:rFonts w:eastAsia="Times New Roman"/>
          <w:i/>
          <w:iCs/>
          <w:color w:val="000000"/>
        </w:rPr>
        <w:t>t</w:t>
      </w:r>
      <w:r w:rsidR="00CF4B60" w:rsidRPr="00B26772">
        <w:rPr>
          <w:rFonts w:eastAsia="Times New Roman"/>
          <w:color w:val="000000"/>
        </w:rPr>
        <w:t>(138) = .537, </w:t>
      </w:r>
      <w:r w:rsidR="00CF4B60" w:rsidRPr="00B26772">
        <w:rPr>
          <w:rFonts w:eastAsia="Times New Roman"/>
          <w:i/>
          <w:iCs/>
          <w:color w:val="000000"/>
        </w:rPr>
        <w:t>p</w:t>
      </w:r>
      <w:r w:rsidR="00CF4B60" w:rsidRPr="00B26772">
        <w:rPr>
          <w:rFonts w:eastAsia="Times New Roman"/>
          <w:color w:val="000000"/>
        </w:rPr>
        <w:t> = .59</w:t>
      </w:r>
      <w:r w:rsidR="007A30A2">
        <w:rPr>
          <w:rFonts w:eastAsia="Times New Roman"/>
          <w:color w:val="000000"/>
        </w:rPr>
        <w:t>; h</w:t>
      </w:r>
      <w:r w:rsidR="00981D3A" w:rsidRPr="00B26772">
        <w:rPr>
          <w:rFonts w:eastAsia="Times New Roman"/>
          <w:color w:val="000000"/>
        </w:rPr>
        <w:t xml:space="preserve">owever, in </w:t>
      </w:r>
      <w:r w:rsidR="00CF4B60" w:rsidRPr="00B26772">
        <w:rPr>
          <w:rFonts w:eastAsia="Times New Roman"/>
          <w:color w:val="000000"/>
        </w:rPr>
        <w:t>the multiple-risk</w:t>
      </w:r>
      <w:r w:rsidR="007A30A2">
        <w:rPr>
          <w:rFonts w:eastAsia="Times New Roman"/>
          <w:color w:val="000000"/>
        </w:rPr>
        <w:t xml:space="preserve"> </w:t>
      </w:r>
      <w:r w:rsidR="00CF4B60" w:rsidRPr="00B26772">
        <w:rPr>
          <w:rFonts w:eastAsia="Times New Roman"/>
          <w:color w:val="000000"/>
        </w:rPr>
        <w:t>condition, risk perception was lower in the presence (</w:t>
      </w:r>
      <w:r w:rsidR="00CF4B60" w:rsidRPr="00B26772">
        <w:rPr>
          <w:rFonts w:eastAsia="Times New Roman"/>
          <w:i/>
          <w:iCs/>
          <w:color w:val="000000"/>
        </w:rPr>
        <w:t>M</w:t>
      </w:r>
      <w:r w:rsidR="00CF4B60" w:rsidRPr="00B26772">
        <w:rPr>
          <w:rFonts w:eastAsia="Times New Roman"/>
          <w:color w:val="000000"/>
        </w:rPr>
        <w:t> = 23.98, </w:t>
      </w:r>
      <w:r w:rsidR="00CF4B60" w:rsidRPr="00B26772">
        <w:rPr>
          <w:rFonts w:eastAsia="Times New Roman"/>
          <w:i/>
          <w:iCs/>
          <w:color w:val="000000"/>
        </w:rPr>
        <w:t>SD</w:t>
      </w:r>
      <w:r w:rsidR="00CF4B60" w:rsidRPr="00B26772">
        <w:rPr>
          <w:rFonts w:eastAsia="Times New Roman"/>
          <w:color w:val="000000"/>
        </w:rPr>
        <w:t> = 25.76) versus absence (</w:t>
      </w:r>
      <w:r w:rsidR="00CF4B60" w:rsidRPr="00B26772">
        <w:rPr>
          <w:rFonts w:eastAsia="Times New Roman"/>
          <w:i/>
          <w:iCs/>
          <w:color w:val="000000"/>
        </w:rPr>
        <w:t>M</w:t>
      </w:r>
      <w:r w:rsidR="00CF4B60" w:rsidRPr="00B26772">
        <w:rPr>
          <w:rFonts w:eastAsia="Times New Roman"/>
          <w:color w:val="000000"/>
        </w:rPr>
        <w:t> = 34.33, </w:t>
      </w:r>
      <w:r w:rsidR="00CF4B60" w:rsidRPr="00B26772">
        <w:rPr>
          <w:rFonts w:eastAsia="Times New Roman"/>
          <w:i/>
          <w:iCs/>
          <w:color w:val="000000"/>
        </w:rPr>
        <w:t>SD</w:t>
      </w:r>
      <w:r w:rsidR="00CF4B60" w:rsidRPr="00B26772">
        <w:rPr>
          <w:rFonts w:eastAsia="Times New Roman"/>
          <w:color w:val="000000"/>
        </w:rPr>
        <w:t> = 27.92) of pictographs, </w:t>
      </w:r>
      <w:r w:rsidR="00CF4B60" w:rsidRPr="00B26772">
        <w:rPr>
          <w:rFonts w:eastAsia="Times New Roman"/>
          <w:i/>
          <w:iCs/>
          <w:color w:val="000000"/>
        </w:rPr>
        <w:t>t</w:t>
      </w:r>
      <w:r w:rsidR="00CF4B60" w:rsidRPr="00B26772">
        <w:rPr>
          <w:rFonts w:eastAsia="Times New Roman"/>
          <w:color w:val="000000"/>
        </w:rPr>
        <w:t>(140) = 2.29, </w:t>
      </w:r>
      <w:r w:rsidR="00CF4B60" w:rsidRPr="00B26772">
        <w:rPr>
          <w:rFonts w:eastAsia="Times New Roman"/>
          <w:i/>
          <w:iCs/>
          <w:color w:val="000000"/>
        </w:rPr>
        <w:t>p</w:t>
      </w:r>
      <w:r w:rsidR="00CF4B60" w:rsidRPr="00B26772">
        <w:rPr>
          <w:rFonts w:eastAsia="Times New Roman"/>
          <w:color w:val="000000"/>
        </w:rPr>
        <w:t> = .023</w:t>
      </w:r>
      <w:r w:rsidR="00386D46">
        <w:rPr>
          <w:rFonts w:eastAsia="Times New Roman"/>
          <w:color w:val="000000"/>
        </w:rPr>
        <w:t xml:space="preserve"> (Figure 3). </w:t>
      </w:r>
    </w:p>
    <w:p w14:paraId="1ED91FE7" w14:textId="00BBDC53" w:rsidR="00703AF7" w:rsidRDefault="00386D46" w:rsidP="00B73608">
      <w:pPr>
        <w:spacing w:line="480" w:lineRule="auto"/>
        <w:contextualSpacing/>
        <w:jc w:val="center"/>
        <w:rPr>
          <w:rFonts w:eastAsia="Times New Roman"/>
          <w:color w:val="000000"/>
        </w:rPr>
      </w:pPr>
      <w:r w:rsidRPr="00B26772">
        <w:rPr>
          <w:rFonts w:eastAsia="Times New Roman"/>
          <w:color w:val="000000"/>
        </w:rPr>
        <w:t>[Insert Figure 3 about here</w:t>
      </w:r>
      <w:r w:rsidR="00B73608">
        <w:rPr>
          <w:rFonts w:eastAsia="Times New Roman"/>
          <w:color w:val="000000"/>
        </w:rPr>
        <w:t>]</w:t>
      </w:r>
    </w:p>
    <w:p w14:paraId="7F6B5321" w14:textId="509C4EAA" w:rsidR="00C665B7" w:rsidRDefault="00CF4B60" w:rsidP="00703AF7">
      <w:pPr>
        <w:spacing w:line="480" w:lineRule="auto"/>
        <w:ind w:firstLine="720"/>
        <w:contextualSpacing/>
        <w:jc w:val="left"/>
        <w:rPr>
          <w:rFonts w:eastAsia="Times New Roman"/>
          <w:color w:val="000000"/>
        </w:rPr>
      </w:pPr>
      <w:r w:rsidRPr="00B26772">
        <w:rPr>
          <w:rFonts w:eastAsia="Times New Roman"/>
          <w:color w:val="000000"/>
        </w:rPr>
        <w:t>The results provide support for H2; risk perception</w:t>
      </w:r>
      <w:r w:rsidR="002128B5" w:rsidRPr="00B26772">
        <w:rPr>
          <w:rFonts w:eastAsia="Times New Roman"/>
          <w:color w:val="000000"/>
        </w:rPr>
        <w:t xml:space="preserve"> </w:t>
      </w:r>
      <w:r w:rsidRPr="00B26772">
        <w:rPr>
          <w:rFonts w:eastAsia="Times New Roman"/>
          <w:color w:val="000000"/>
        </w:rPr>
        <w:t>was significantly l</w:t>
      </w:r>
      <w:r w:rsidR="00A35325" w:rsidRPr="00B26772">
        <w:rPr>
          <w:rFonts w:eastAsia="Times New Roman"/>
          <w:color w:val="000000"/>
        </w:rPr>
        <w:t>ower</w:t>
      </w:r>
      <w:r w:rsidRPr="00B26772">
        <w:rPr>
          <w:rFonts w:eastAsia="Times New Roman"/>
          <w:color w:val="000000"/>
        </w:rPr>
        <w:t xml:space="preserve"> in the presence (vs. absence) of pictographs in the multiple-risk condition</w:t>
      </w:r>
      <w:r w:rsidR="00386D46">
        <w:rPr>
          <w:rFonts w:eastAsia="Times New Roman"/>
          <w:color w:val="000000"/>
        </w:rPr>
        <w:t xml:space="preserve">, </w:t>
      </w:r>
      <w:r w:rsidRPr="00B26772">
        <w:rPr>
          <w:rFonts w:eastAsia="Times New Roman"/>
          <w:color w:val="000000"/>
        </w:rPr>
        <w:t xml:space="preserve">but </w:t>
      </w:r>
      <w:r w:rsidR="00386D46">
        <w:rPr>
          <w:rFonts w:eastAsia="Times New Roman"/>
          <w:color w:val="000000"/>
        </w:rPr>
        <w:t>this did not occur in the</w:t>
      </w:r>
      <w:r w:rsidRPr="00B26772">
        <w:rPr>
          <w:rFonts w:eastAsia="Times New Roman"/>
          <w:color w:val="000000"/>
        </w:rPr>
        <w:t xml:space="preserve"> single</w:t>
      </w:r>
      <w:r w:rsidR="00386D46">
        <w:rPr>
          <w:rFonts w:eastAsia="Times New Roman"/>
          <w:color w:val="000000"/>
        </w:rPr>
        <w:t>-</w:t>
      </w:r>
      <w:r w:rsidRPr="00B26772">
        <w:rPr>
          <w:rFonts w:eastAsia="Times New Roman"/>
          <w:color w:val="000000"/>
        </w:rPr>
        <w:t xml:space="preserve">risk condition (Figure 3). </w:t>
      </w:r>
      <w:r w:rsidR="00C665B7">
        <w:rPr>
          <w:rFonts w:eastAsia="Times New Roman"/>
          <w:color w:val="000000"/>
        </w:rPr>
        <w:t>T</w:t>
      </w:r>
      <w:r w:rsidR="00E47FB5">
        <w:rPr>
          <w:rFonts w:eastAsia="Times New Roman"/>
          <w:color w:val="000000"/>
        </w:rPr>
        <w:t xml:space="preserve">he </w:t>
      </w:r>
      <w:r w:rsidR="00342AA6" w:rsidRPr="00B26772">
        <w:rPr>
          <w:rFonts w:eastAsia="Times New Roman"/>
          <w:color w:val="000000"/>
        </w:rPr>
        <w:t xml:space="preserve">lack of an effect in the single-risk condition </w:t>
      </w:r>
      <w:r w:rsidR="00386D46">
        <w:rPr>
          <w:rFonts w:eastAsia="Times New Roman"/>
          <w:color w:val="000000"/>
        </w:rPr>
        <w:t xml:space="preserve">may be the result of participants, in this condition, focusing on the </w:t>
      </w:r>
      <w:r w:rsidR="00342AA6" w:rsidRPr="00B26772">
        <w:rPr>
          <w:rFonts w:eastAsia="Times New Roman"/>
          <w:color w:val="000000"/>
        </w:rPr>
        <w:t xml:space="preserve">side-effect symptom (mild fever) </w:t>
      </w:r>
      <w:r w:rsidR="00703AF7">
        <w:rPr>
          <w:rFonts w:eastAsia="Times New Roman"/>
          <w:color w:val="000000"/>
        </w:rPr>
        <w:t xml:space="preserve">more </w:t>
      </w:r>
      <w:r w:rsidR="00342AA6" w:rsidRPr="00B26772">
        <w:rPr>
          <w:rFonts w:eastAsia="Times New Roman"/>
          <w:color w:val="000000"/>
        </w:rPr>
        <w:t>than its probability (1 in 5)</w:t>
      </w:r>
      <w:r w:rsidR="00386D46">
        <w:rPr>
          <w:rFonts w:eastAsia="Times New Roman"/>
          <w:color w:val="000000"/>
        </w:rPr>
        <w:t xml:space="preserve">. </w:t>
      </w:r>
      <w:r w:rsidR="00C665B7" w:rsidRPr="00B26772">
        <w:rPr>
          <w:rFonts w:eastAsia="Times New Roman"/>
          <w:color w:val="000000"/>
        </w:rPr>
        <w:t>Th</w:t>
      </w:r>
      <w:r w:rsidR="00C665B7">
        <w:rPr>
          <w:rFonts w:eastAsia="Times New Roman"/>
          <w:color w:val="000000"/>
        </w:rPr>
        <w:t xml:space="preserve">e </w:t>
      </w:r>
      <w:r w:rsidR="00C665B7" w:rsidRPr="00B26772">
        <w:rPr>
          <w:rFonts w:eastAsia="Times New Roman"/>
          <w:color w:val="000000"/>
        </w:rPr>
        <w:t>idea that participants gave less attention to side-effect probability in the single</w:t>
      </w:r>
      <w:r w:rsidR="00C665B7">
        <w:rPr>
          <w:rFonts w:eastAsia="Times New Roman"/>
          <w:color w:val="000000"/>
        </w:rPr>
        <w:t>-</w:t>
      </w:r>
      <w:r w:rsidR="00C665B7" w:rsidRPr="00B26772">
        <w:rPr>
          <w:rFonts w:eastAsia="Times New Roman"/>
          <w:color w:val="000000"/>
        </w:rPr>
        <w:t xml:space="preserve">risk condition </w:t>
      </w:r>
      <w:r w:rsidR="00C665B7">
        <w:rPr>
          <w:rFonts w:eastAsia="Times New Roman"/>
          <w:color w:val="000000"/>
        </w:rPr>
        <w:t>aligns with the</w:t>
      </w:r>
      <w:r w:rsidR="00C665B7" w:rsidRPr="00B26772">
        <w:rPr>
          <w:rFonts w:eastAsia="Times New Roman"/>
          <w:color w:val="000000"/>
        </w:rPr>
        <w:t xml:space="preserve"> previous finding that probability comprehension was</w:t>
      </w:r>
      <w:r w:rsidR="00C665B7">
        <w:rPr>
          <w:rFonts w:eastAsia="Times New Roman"/>
          <w:color w:val="000000"/>
        </w:rPr>
        <w:t xml:space="preserve"> </w:t>
      </w:r>
      <w:r w:rsidR="00C665B7" w:rsidRPr="00B26772">
        <w:rPr>
          <w:rFonts w:eastAsia="Times New Roman"/>
          <w:color w:val="000000"/>
        </w:rPr>
        <w:t>unaffected by the presence (vs. absence) of pictographs in the single-risk condition.</w:t>
      </w:r>
    </w:p>
    <w:p w14:paraId="1D4FFE5A" w14:textId="266C7E0F" w:rsidR="00C665B7" w:rsidRDefault="007D2197" w:rsidP="00C665B7">
      <w:pPr>
        <w:spacing w:line="480" w:lineRule="auto"/>
        <w:ind w:firstLine="720"/>
        <w:contextualSpacing/>
        <w:jc w:val="left"/>
        <w:rPr>
          <w:rFonts w:eastAsia="Times New Roman"/>
          <w:color w:val="000000"/>
        </w:rPr>
      </w:pPr>
      <w:r>
        <w:rPr>
          <w:rFonts w:eastAsia="Times New Roman"/>
          <w:color w:val="000000"/>
        </w:rPr>
        <w:t xml:space="preserve">On the other hand, when presented with multiple incremental attributes, as in the multiple-risk condition, participants may have focused on </w:t>
      </w:r>
      <w:r w:rsidR="007A30A2">
        <w:rPr>
          <w:rFonts w:eastAsia="Times New Roman"/>
          <w:color w:val="000000"/>
        </w:rPr>
        <w:t xml:space="preserve">the </w:t>
      </w:r>
      <w:r>
        <w:rPr>
          <w:rFonts w:eastAsia="Times New Roman"/>
          <w:color w:val="000000"/>
        </w:rPr>
        <w:t xml:space="preserve">side-effect probabilities (i.e. incremental attributes) </w:t>
      </w:r>
      <w:r w:rsidR="00703AF7">
        <w:rPr>
          <w:rFonts w:eastAsia="Times New Roman"/>
          <w:color w:val="000000"/>
        </w:rPr>
        <w:t xml:space="preserve">more </w:t>
      </w:r>
      <w:r>
        <w:rPr>
          <w:rFonts w:eastAsia="Times New Roman"/>
          <w:color w:val="000000"/>
        </w:rPr>
        <w:t xml:space="preserve">than </w:t>
      </w:r>
      <w:r w:rsidR="00703AF7">
        <w:rPr>
          <w:rFonts w:eastAsia="Times New Roman"/>
          <w:color w:val="000000"/>
        </w:rPr>
        <w:t xml:space="preserve">on </w:t>
      </w:r>
      <w:r w:rsidR="007A30A2">
        <w:rPr>
          <w:rFonts w:eastAsia="Times New Roman"/>
          <w:color w:val="000000"/>
        </w:rPr>
        <w:t xml:space="preserve">the </w:t>
      </w:r>
      <w:r>
        <w:rPr>
          <w:rFonts w:eastAsia="Times New Roman"/>
          <w:color w:val="000000"/>
        </w:rPr>
        <w:t>symptoms</w:t>
      </w:r>
      <w:r w:rsidR="00D170D2">
        <w:rPr>
          <w:rFonts w:eastAsia="Times New Roman"/>
          <w:color w:val="000000"/>
        </w:rPr>
        <w:t xml:space="preserve"> (i.e. categorical attributes</w:t>
      </w:r>
      <w:r w:rsidR="006240BE">
        <w:rPr>
          <w:rFonts w:eastAsia="Times New Roman"/>
          <w:color w:val="000000"/>
        </w:rPr>
        <w:t xml:space="preserve">; </w:t>
      </w:r>
      <w:r w:rsidR="006240BE" w:rsidRPr="00B26772">
        <w:t>Hsee</w:t>
      </w:r>
      <w:r w:rsidR="006240BE">
        <w:t xml:space="preserve"> et al.</w:t>
      </w:r>
      <w:r w:rsidR="006240BE" w:rsidRPr="00B26772">
        <w:t xml:space="preserve"> 1999</w:t>
      </w:r>
      <w:r w:rsidR="00D170D2">
        <w:rPr>
          <w:rFonts w:eastAsia="Times New Roman"/>
          <w:color w:val="000000"/>
        </w:rPr>
        <w:t>)</w:t>
      </w:r>
      <w:r>
        <w:rPr>
          <w:rFonts w:eastAsia="Times New Roman"/>
          <w:color w:val="000000"/>
        </w:rPr>
        <w:t xml:space="preserve">. </w:t>
      </w:r>
      <w:r w:rsidR="00D170D2">
        <w:rPr>
          <w:rFonts w:eastAsia="Times New Roman"/>
          <w:color w:val="000000"/>
        </w:rPr>
        <w:t>As suggested by previous work on denominator neglect</w:t>
      </w:r>
      <w:r w:rsidR="00D93835">
        <w:rPr>
          <w:rFonts w:eastAsia="Times New Roman"/>
          <w:color w:val="000000"/>
        </w:rPr>
        <w:t xml:space="preserve"> (</w:t>
      </w:r>
      <w:r w:rsidR="00834458" w:rsidRPr="00B26772">
        <w:rPr>
          <w:rFonts w:eastAsia="Times New Roman"/>
          <w:color w:val="000000"/>
        </w:rPr>
        <w:t>Garcia-Retamero, Galesic, and Gigerenzer 2010</w:t>
      </w:r>
      <w:r w:rsidR="00703AF7">
        <w:rPr>
          <w:rFonts w:eastAsia="Times New Roman"/>
          <w:color w:val="000000"/>
        </w:rPr>
        <w:t xml:space="preserve">), </w:t>
      </w:r>
      <w:r w:rsidR="00D170D2">
        <w:rPr>
          <w:rFonts w:eastAsia="Times New Roman"/>
          <w:color w:val="000000"/>
        </w:rPr>
        <w:t xml:space="preserve">this increased focus on side-effect probabilities (vs. symptoms), may have resulted in </w:t>
      </w:r>
      <w:r w:rsidR="00703AF7">
        <w:rPr>
          <w:rFonts w:eastAsia="Times New Roman"/>
          <w:color w:val="000000"/>
        </w:rPr>
        <w:t xml:space="preserve">pictographs lessening </w:t>
      </w:r>
      <w:r w:rsidR="00D170D2">
        <w:rPr>
          <w:rFonts w:eastAsia="Times New Roman"/>
          <w:color w:val="000000"/>
        </w:rPr>
        <w:t xml:space="preserve">risk perception by encouraging participants to consider the number of people that did not experience a side-effect from the vaccine. </w:t>
      </w:r>
    </w:p>
    <w:p w14:paraId="7A89234D" w14:textId="551DDB3D" w:rsidR="008E2DFB" w:rsidRPr="00B26772" w:rsidRDefault="00703AF7" w:rsidP="00C665B7">
      <w:pPr>
        <w:spacing w:line="480" w:lineRule="auto"/>
        <w:ind w:firstLine="720"/>
        <w:contextualSpacing/>
        <w:jc w:val="left"/>
        <w:rPr>
          <w:rFonts w:eastAsia="Times New Roman"/>
          <w:color w:val="000000"/>
        </w:rPr>
      </w:pPr>
      <w:r>
        <w:rPr>
          <w:rFonts w:eastAsia="Times New Roman"/>
          <w:color w:val="000000"/>
        </w:rPr>
        <w:t>I</w:t>
      </w:r>
      <w:r w:rsidR="00390FCD">
        <w:rPr>
          <w:rFonts w:eastAsia="Times New Roman"/>
          <w:color w:val="000000"/>
        </w:rPr>
        <w:t>n addition</w:t>
      </w:r>
      <w:r w:rsidR="00A35325" w:rsidRPr="00B26772">
        <w:rPr>
          <w:rFonts w:eastAsia="Times New Roman"/>
          <w:color w:val="000000"/>
        </w:rPr>
        <w:t xml:space="preserve">, </w:t>
      </w:r>
      <w:r w:rsidR="00D849F3" w:rsidRPr="00B26772">
        <w:rPr>
          <w:rFonts w:eastAsia="Times New Roman"/>
          <w:color w:val="000000"/>
        </w:rPr>
        <w:t xml:space="preserve">when considered with the previous finding on probability comprehension, pictographs may have lowered risk perception for the multiple-risk option because they were especially helpful </w:t>
      </w:r>
      <w:r w:rsidR="007A30A2">
        <w:rPr>
          <w:rFonts w:eastAsia="Times New Roman"/>
          <w:color w:val="000000"/>
        </w:rPr>
        <w:t>in</w:t>
      </w:r>
      <w:r w:rsidR="00D849F3" w:rsidRPr="00B26772">
        <w:rPr>
          <w:rFonts w:eastAsia="Times New Roman"/>
          <w:color w:val="000000"/>
        </w:rPr>
        <w:t xml:space="preserve"> increasing comprehension of the smaller probabilities. As </w:t>
      </w:r>
      <w:r w:rsidR="00390FCD">
        <w:rPr>
          <w:rFonts w:eastAsia="Times New Roman"/>
          <w:color w:val="000000"/>
        </w:rPr>
        <w:t xml:space="preserve">is the case with </w:t>
      </w:r>
      <w:r w:rsidR="00390FCD">
        <w:rPr>
          <w:rFonts w:eastAsia="Times New Roman"/>
          <w:color w:val="000000"/>
        </w:rPr>
        <w:lastRenderedPageBreak/>
        <w:t>the CDC’s</w:t>
      </w:r>
      <w:r w:rsidR="00D849F3" w:rsidRPr="00B26772">
        <w:rPr>
          <w:rFonts w:eastAsia="Times New Roman"/>
          <w:color w:val="000000"/>
        </w:rPr>
        <w:t xml:space="preserve"> VIS</w:t>
      </w:r>
      <w:r w:rsidR="00390FCD">
        <w:rPr>
          <w:rFonts w:eastAsia="Times New Roman"/>
          <w:color w:val="000000"/>
        </w:rPr>
        <w:t xml:space="preserve">, </w:t>
      </w:r>
      <w:r w:rsidR="00D849F3" w:rsidRPr="00B26772">
        <w:rPr>
          <w:rFonts w:eastAsia="Times New Roman"/>
          <w:color w:val="000000"/>
        </w:rPr>
        <w:t xml:space="preserve">less probable side-effects are often associated with more severe side-effect symptoms. </w:t>
      </w:r>
      <w:r w:rsidR="008E2DFB" w:rsidRPr="00B26772">
        <w:rPr>
          <w:rFonts w:eastAsia="Times New Roman"/>
          <w:color w:val="000000"/>
        </w:rPr>
        <w:t xml:space="preserve">As a result, pictographs may have lessened risk perception in the multiple-risk condition by allowing participants to </w:t>
      </w:r>
      <w:r w:rsidR="003467E2" w:rsidRPr="00B26772">
        <w:rPr>
          <w:rFonts w:eastAsia="Times New Roman"/>
          <w:color w:val="000000"/>
        </w:rPr>
        <w:t xml:space="preserve">more </w:t>
      </w:r>
      <w:r w:rsidR="008E2DFB" w:rsidRPr="00B26772">
        <w:rPr>
          <w:rFonts w:eastAsia="Times New Roman"/>
          <w:color w:val="000000"/>
        </w:rPr>
        <w:t xml:space="preserve">accurately assess the likelihood of the more severe side-effects. </w:t>
      </w:r>
    </w:p>
    <w:p w14:paraId="0C4EC46A" w14:textId="77777777" w:rsidR="00C665B7" w:rsidRDefault="00CF4B60" w:rsidP="00C665B7">
      <w:pPr>
        <w:spacing w:line="480" w:lineRule="auto"/>
        <w:contextualSpacing/>
        <w:jc w:val="center"/>
        <w:rPr>
          <w:rFonts w:eastAsia="Times New Roman"/>
          <w:color w:val="000000"/>
        </w:rPr>
      </w:pPr>
      <w:r w:rsidRPr="00B26772">
        <w:rPr>
          <w:rFonts w:eastAsia="Times New Roman"/>
          <w:color w:val="000000"/>
        </w:rPr>
        <w:t>CONCLUSION</w:t>
      </w:r>
    </w:p>
    <w:p w14:paraId="58AA8F20" w14:textId="1F3FA98F" w:rsidR="00D45484" w:rsidRDefault="00D45484" w:rsidP="00C665B7">
      <w:pPr>
        <w:spacing w:line="480" w:lineRule="auto"/>
        <w:ind w:firstLine="720"/>
        <w:contextualSpacing/>
        <w:jc w:val="left"/>
        <w:rPr>
          <w:rFonts w:eastAsia="Times New Roman"/>
          <w:color w:val="000000"/>
        </w:rPr>
      </w:pPr>
      <w:r w:rsidRPr="00B26772">
        <w:rPr>
          <w:rFonts w:eastAsia="Times New Roman"/>
          <w:color w:val="000000"/>
        </w:rPr>
        <w:t xml:space="preserve">Consumers are likely to encounter multiple-risk options in many health contexts such as when choosing health insurance, medical treatments, and medications (Frederickson et al. 2004; Waters et al. 2006). </w:t>
      </w:r>
      <w:r w:rsidR="00C665B7" w:rsidRPr="00B26772">
        <w:rPr>
          <w:rFonts w:eastAsia="Times New Roman"/>
          <w:color w:val="000000"/>
        </w:rPr>
        <w:t xml:space="preserve">Based on the present findings, policy makers are encouraged to consider incorporating pictographs </w:t>
      </w:r>
      <w:r w:rsidR="008F557E">
        <w:rPr>
          <w:rFonts w:eastAsia="Times New Roman"/>
          <w:color w:val="000000"/>
        </w:rPr>
        <w:t>when communicating</w:t>
      </w:r>
      <w:r w:rsidR="00C665B7" w:rsidRPr="00B26772">
        <w:rPr>
          <w:rFonts w:eastAsia="Times New Roman"/>
          <w:color w:val="000000"/>
        </w:rPr>
        <w:t xml:space="preserve"> multiple-risk options. </w:t>
      </w:r>
      <w:bookmarkStart w:id="11" w:name="_Hlk499902430"/>
      <w:r w:rsidR="00C665B7" w:rsidRPr="00B26772">
        <w:rPr>
          <w:rFonts w:eastAsia="Times New Roman"/>
          <w:color w:val="000000"/>
        </w:rPr>
        <w:t>The present research suggests that pictographs may increase probability comprehension and lower risk perception for multiple-risk option</w:t>
      </w:r>
      <w:r w:rsidR="00646E7C">
        <w:rPr>
          <w:rFonts w:eastAsia="Times New Roman"/>
          <w:color w:val="000000"/>
        </w:rPr>
        <w:t>s; h</w:t>
      </w:r>
      <w:r w:rsidR="00C665B7">
        <w:rPr>
          <w:rFonts w:eastAsia="Times New Roman"/>
          <w:color w:val="000000"/>
        </w:rPr>
        <w:t>owever, g</w:t>
      </w:r>
      <w:r w:rsidRPr="00B26772">
        <w:rPr>
          <w:rFonts w:eastAsia="Times New Roman"/>
          <w:color w:val="000000"/>
        </w:rPr>
        <w:t xml:space="preserve">iven that pictographs can result in lower risk perception, the desired result of </w:t>
      </w:r>
      <w:r w:rsidR="00440141" w:rsidRPr="00B26772">
        <w:rPr>
          <w:rFonts w:eastAsia="Times New Roman"/>
          <w:color w:val="000000"/>
        </w:rPr>
        <w:t>the</w:t>
      </w:r>
      <w:r w:rsidRPr="00B26772">
        <w:rPr>
          <w:rFonts w:eastAsia="Times New Roman"/>
          <w:color w:val="000000"/>
        </w:rPr>
        <w:t xml:space="preserve"> communication </w:t>
      </w:r>
      <w:r w:rsidR="00440141" w:rsidRPr="00B26772">
        <w:rPr>
          <w:rFonts w:eastAsia="Times New Roman"/>
          <w:color w:val="000000"/>
        </w:rPr>
        <w:t>deserves consideration.</w:t>
      </w:r>
      <w:r w:rsidRPr="00B26772">
        <w:rPr>
          <w:rFonts w:eastAsia="Times New Roman"/>
          <w:color w:val="000000"/>
        </w:rPr>
        <w:t xml:space="preserve"> Regarding childhood vaccines, lower perceived risk may result in higher vaccination rates, which is desirable. However, there are situations, such as when promoting the health risks of </w:t>
      </w:r>
      <w:r w:rsidR="00440141" w:rsidRPr="00B26772">
        <w:rPr>
          <w:rFonts w:eastAsia="Times New Roman"/>
          <w:color w:val="000000"/>
        </w:rPr>
        <w:t xml:space="preserve">risky </w:t>
      </w:r>
      <w:r w:rsidRPr="00B26772">
        <w:rPr>
          <w:rFonts w:eastAsia="Times New Roman"/>
          <w:color w:val="000000"/>
        </w:rPr>
        <w:t>behaviors (unprotected sex) or products (cigarettes), whe</w:t>
      </w:r>
      <w:r w:rsidR="00646E7C">
        <w:rPr>
          <w:rFonts w:eastAsia="Times New Roman"/>
          <w:color w:val="000000"/>
        </w:rPr>
        <w:t>re</w:t>
      </w:r>
      <w:r w:rsidRPr="00B26772">
        <w:rPr>
          <w:rFonts w:eastAsia="Times New Roman"/>
          <w:color w:val="000000"/>
        </w:rPr>
        <w:t xml:space="preserve"> lower risk perception</w:t>
      </w:r>
      <w:r w:rsidR="00646E7C">
        <w:rPr>
          <w:rFonts w:eastAsia="Times New Roman"/>
          <w:color w:val="000000"/>
        </w:rPr>
        <w:t>s</w:t>
      </w:r>
      <w:r w:rsidR="002D263F">
        <w:rPr>
          <w:rFonts w:eastAsia="Times New Roman"/>
          <w:color w:val="000000"/>
        </w:rPr>
        <w:t xml:space="preserve"> </w:t>
      </w:r>
      <w:r w:rsidR="00646E7C">
        <w:rPr>
          <w:rFonts w:eastAsia="Times New Roman"/>
          <w:color w:val="000000"/>
        </w:rPr>
        <w:t xml:space="preserve">are </w:t>
      </w:r>
      <w:r w:rsidR="002D263F">
        <w:rPr>
          <w:rFonts w:eastAsia="Times New Roman"/>
          <w:color w:val="000000"/>
        </w:rPr>
        <w:t>not desirable.</w:t>
      </w:r>
      <w:bookmarkEnd w:id="11"/>
    </w:p>
    <w:p w14:paraId="716A58C9" w14:textId="79CE88EB" w:rsidR="00AB08C0" w:rsidRDefault="00C665B7" w:rsidP="00AB08C0">
      <w:pPr>
        <w:spacing w:line="480" w:lineRule="auto"/>
        <w:ind w:firstLine="720"/>
        <w:contextualSpacing/>
        <w:jc w:val="left"/>
        <w:rPr>
          <w:rFonts w:eastAsia="Times New Roman"/>
          <w:color w:val="000000"/>
        </w:rPr>
      </w:pPr>
      <w:r>
        <w:rPr>
          <w:rFonts w:eastAsia="Times New Roman"/>
          <w:color w:val="000000"/>
        </w:rPr>
        <w:t>T</w:t>
      </w:r>
      <w:r w:rsidRPr="00B26772">
        <w:rPr>
          <w:rFonts w:eastAsia="Times New Roman"/>
          <w:color w:val="000000"/>
        </w:rPr>
        <w:t>he present research does not directly bear on vaccination intentions or behavior as they are likely the result of many factors in addition to probability format. For example, age and education (Shui, Weintraub, and Gust 2006), trust in the government or medical profession (Raithatha et al. 2003), and peer and primary care provider opinions (Chapman and Coups 1999) can affect vaccination intentions.</w:t>
      </w:r>
      <w:r>
        <w:rPr>
          <w:rFonts w:eastAsia="Times New Roman"/>
          <w:color w:val="000000"/>
        </w:rPr>
        <w:t xml:space="preserve"> </w:t>
      </w:r>
      <w:r w:rsidR="00D45484" w:rsidRPr="00B26772">
        <w:rPr>
          <w:rFonts w:eastAsia="Times New Roman"/>
          <w:color w:val="000000"/>
        </w:rPr>
        <w:t xml:space="preserve">In addition, risk judgments often depend not only on the perceived probabilities of outcomes and the perceived severity of outcomes, but also on other factors such as perceived control, dread, novelty, </w:t>
      </w:r>
      <w:r w:rsidR="00646E7C">
        <w:rPr>
          <w:rFonts w:eastAsia="Times New Roman"/>
          <w:color w:val="000000"/>
        </w:rPr>
        <w:t xml:space="preserve">and </w:t>
      </w:r>
      <w:r w:rsidR="00D45484" w:rsidRPr="00B26772">
        <w:rPr>
          <w:rFonts w:eastAsia="Times New Roman"/>
          <w:color w:val="000000"/>
        </w:rPr>
        <w:t xml:space="preserve">voluntariness (Slovic et al. 2004; Slovic </w:t>
      </w:r>
      <w:r w:rsidR="00D45484" w:rsidRPr="00B26772">
        <w:rPr>
          <w:rFonts w:eastAsia="Times New Roman"/>
          <w:color w:val="000000"/>
        </w:rPr>
        <w:lastRenderedPageBreak/>
        <w:t xml:space="preserve">1987). Future work could examine how such factors interact with the presence (vs. absence) of pictographs when judging perceived risk. </w:t>
      </w:r>
    </w:p>
    <w:p w14:paraId="53863715" w14:textId="79B53DCF" w:rsidR="00AB08C0" w:rsidRDefault="00646E7C" w:rsidP="00AB08C0">
      <w:pPr>
        <w:spacing w:line="480" w:lineRule="auto"/>
        <w:ind w:firstLine="720"/>
        <w:contextualSpacing/>
        <w:jc w:val="left"/>
        <w:rPr>
          <w:rFonts w:eastAsia="Times New Roman"/>
          <w:color w:val="000000"/>
        </w:rPr>
      </w:pPr>
      <w:r>
        <w:rPr>
          <w:rFonts w:eastAsia="Times New Roman"/>
          <w:color w:val="000000"/>
        </w:rPr>
        <w:t>T</w:t>
      </w:r>
      <w:r w:rsidR="00AB08C0">
        <w:rPr>
          <w:rFonts w:eastAsia="Times New Roman"/>
          <w:color w:val="000000"/>
        </w:rPr>
        <w:t xml:space="preserve">he present research only assessed probability comprehension and risk perception within a specific context involving a hypothetical vaccine. </w:t>
      </w:r>
      <w:bookmarkStart w:id="12" w:name="_Hlk499912465"/>
      <w:r w:rsidR="008F557E">
        <w:rPr>
          <w:rFonts w:eastAsia="Times New Roman"/>
          <w:color w:val="000000"/>
        </w:rPr>
        <w:t>Future work could test</w:t>
      </w:r>
      <w:r w:rsidR="008F557E" w:rsidRPr="00B26772">
        <w:rPr>
          <w:rFonts w:eastAsia="Times New Roman"/>
          <w:color w:val="000000"/>
        </w:rPr>
        <w:t xml:space="preserve"> whether </w:t>
      </w:r>
      <w:r w:rsidR="008F557E">
        <w:rPr>
          <w:rFonts w:eastAsia="Times New Roman"/>
          <w:color w:val="000000"/>
        </w:rPr>
        <w:t xml:space="preserve">the observed effects extend to contexts involving multiple-risk options having different numbers of risks </w:t>
      </w:r>
      <w:r>
        <w:rPr>
          <w:rFonts w:eastAsia="Times New Roman"/>
          <w:color w:val="000000"/>
        </w:rPr>
        <w:t xml:space="preserve">or </w:t>
      </w:r>
      <w:r w:rsidR="008F557E">
        <w:rPr>
          <w:rFonts w:eastAsia="Times New Roman"/>
          <w:color w:val="000000"/>
        </w:rPr>
        <w:t xml:space="preserve">probability ratios than those tested. </w:t>
      </w:r>
      <w:r w:rsidR="00AB08C0" w:rsidRPr="00B26772">
        <w:rPr>
          <w:rFonts w:eastAsia="Times New Roman"/>
          <w:color w:val="000000"/>
        </w:rPr>
        <w:t xml:space="preserve">Future research could </w:t>
      </w:r>
      <w:r>
        <w:rPr>
          <w:rFonts w:eastAsia="Times New Roman"/>
          <w:color w:val="000000"/>
        </w:rPr>
        <w:t xml:space="preserve">also </w:t>
      </w:r>
      <w:r w:rsidR="00AB08C0" w:rsidRPr="00B26772">
        <w:rPr>
          <w:rFonts w:eastAsia="Times New Roman"/>
          <w:color w:val="000000"/>
        </w:rPr>
        <w:t>address whether the observed effects are limited to pictographs</w:t>
      </w:r>
      <w:r w:rsidR="000A6D84">
        <w:rPr>
          <w:rFonts w:eastAsia="Times New Roman"/>
          <w:color w:val="000000"/>
        </w:rPr>
        <w:t>. It may be the case that providing more information on probabilities</w:t>
      </w:r>
      <w:r>
        <w:rPr>
          <w:rFonts w:eastAsia="Times New Roman"/>
          <w:color w:val="000000"/>
        </w:rPr>
        <w:t xml:space="preserve"> </w:t>
      </w:r>
      <w:r w:rsidR="000A6D84">
        <w:rPr>
          <w:rFonts w:eastAsia="Times New Roman"/>
          <w:color w:val="000000"/>
        </w:rPr>
        <w:t xml:space="preserve">using other </w:t>
      </w:r>
      <w:r w:rsidR="00AB08C0" w:rsidRPr="00B26772">
        <w:rPr>
          <w:rFonts w:eastAsia="Times New Roman"/>
          <w:color w:val="000000"/>
        </w:rPr>
        <w:t xml:space="preserve">graphical </w:t>
      </w:r>
      <w:r w:rsidR="000A6D84">
        <w:rPr>
          <w:rFonts w:eastAsia="Times New Roman"/>
          <w:color w:val="000000"/>
        </w:rPr>
        <w:t xml:space="preserve">or numerical formats </w:t>
      </w:r>
      <w:r w:rsidR="00AB08C0" w:rsidRPr="00B26772">
        <w:rPr>
          <w:rFonts w:eastAsia="Times New Roman"/>
          <w:color w:val="000000"/>
        </w:rPr>
        <w:t xml:space="preserve">may also </w:t>
      </w:r>
      <w:bookmarkStart w:id="13" w:name="_Hlk499903284"/>
      <w:r>
        <w:rPr>
          <w:rFonts w:eastAsia="Times New Roman"/>
          <w:color w:val="000000"/>
        </w:rPr>
        <w:t>prove effective</w:t>
      </w:r>
      <w:r w:rsidR="008F557E">
        <w:rPr>
          <w:rFonts w:eastAsia="Times New Roman"/>
          <w:color w:val="000000"/>
        </w:rPr>
        <w:t xml:space="preserve">. </w:t>
      </w:r>
      <w:r w:rsidR="000A6D84">
        <w:rPr>
          <w:rFonts w:eastAsia="Times New Roman"/>
          <w:color w:val="000000"/>
        </w:rPr>
        <w:t xml:space="preserve"> </w:t>
      </w:r>
      <w:bookmarkEnd w:id="12"/>
      <w:bookmarkEnd w:id="13"/>
    </w:p>
    <w:p w14:paraId="6384A4E1" w14:textId="713DB923" w:rsidR="00D45484" w:rsidRDefault="00D45484" w:rsidP="00AB08C0">
      <w:pPr>
        <w:spacing w:line="480" w:lineRule="auto"/>
        <w:ind w:firstLine="720"/>
        <w:contextualSpacing/>
        <w:jc w:val="left"/>
        <w:rPr>
          <w:rFonts w:eastAsia="Times New Roman"/>
          <w:color w:val="000000"/>
        </w:rPr>
      </w:pPr>
      <w:r w:rsidRPr="00B26772">
        <w:rPr>
          <w:rFonts w:eastAsia="Times New Roman"/>
          <w:color w:val="000000"/>
        </w:rPr>
        <w:t xml:space="preserve">To help generalize the present results to additional contexts, theoretically oriented research is needed to compare the effect of probability format on </w:t>
      </w:r>
      <w:r w:rsidR="008F557E">
        <w:rPr>
          <w:rFonts w:eastAsia="Times New Roman"/>
          <w:color w:val="000000"/>
        </w:rPr>
        <w:t xml:space="preserve">probability comprehension and </w:t>
      </w:r>
      <w:r w:rsidRPr="00B26772">
        <w:rPr>
          <w:rFonts w:eastAsia="Times New Roman"/>
          <w:color w:val="000000"/>
        </w:rPr>
        <w:t>risk perception of multiple</w:t>
      </w:r>
      <w:r w:rsidR="00646E7C">
        <w:rPr>
          <w:rFonts w:eastAsia="Times New Roman"/>
          <w:color w:val="000000"/>
        </w:rPr>
        <w:t>-</w:t>
      </w:r>
      <w:r w:rsidRPr="00B26772">
        <w:rPr>
          <w:rFonts w:eastAsia="Times New Roman"/>
          <w:color w:val="000000"/>
        </w:rPr>
        <w:t>risk options in generic contexts such as those offered in gambling-task paradigms. Such paradigms may help us understand how laypersons combine the individual probabilities of multiple possible outcomes to come up with an estimate of the probability of at least one of a set of outcomes occurring, in the absence of information on any probabilistic dependencies between the possible outcomes offered by an option.</w:t>
      </w:r>
    </w:p>
    <w:p w14:paraId="3A994813" w14:textId="3A9B27DB" w:rsidR="007C3348" w:rsidRDefault="007C3348" w:rsidP="007C3348">
      <w:pPr>
        <w:spacing w:line="480" w:lineRule="auto"/>
        <w:contextualSpacing/>
        <w:jc w:val="left"/>
        <w:rPr>
          <w:rFonts w:eastAsia="Times New Roman"/>
          <w:color w:val="000000"/>
        </w:rPr>
      </w:pPr>
    </w:p>
    <w:p w14:paraId="6A16E39F" w14:textId="77777777" w:rsidR="007C3348" w:rsidRPr="00B26772" w:rsidRDefault="007C3348" w:rsidP="007C3348">
      <w:pPr>
        <w:pStyle w:val="NormalWeb"/>
        <w:pageBreakBefore/>
        <w:spacing w:before="0" w:beforeAutospacing="0" w:after="0" w:afterAutospacing="0" w:line="480" w:lineRule="auto"/>
        <w:contextualSpacing/>
        <w:jc w:val="center"/>
      </w:pPr>
      <w:r w:rsidRPr="00B26772">
        <w:lastRenderedPageBreak/>
        <w:t>REFERENCES</w:t>
      </w:r>
    </w:p>
    <w:p w14:paraId="0B273457" w14:textId="0E2ED83D" w:rsidR="007C3348" w:rsidRPr="00B26772" w:rsidRDefault="007C3348" w:rsidP="007C3348">
      <w:pPr>
        <w:spacing w:line="480" w:lineRule="auto"/>
        <w:ind w:left="720" w:hanging="720"/>
        <w:contextualSpacing/>
        <w:jc w:val="left"/>
        <w:rPr>
          <w:rFonts w:eastAsia="Times New Roman"/>
        </w:rPr>
      </w:pPr>
      <w:r w:rsidRPr="00B26772">
        <w:rPr>
          <w:rFonts w:eastAsia="Times New Roman"/>
        </w:rPr>
        <w:t>Ancker, Jessica S., Yalini Senathirajah, Rita Kukafka, and Justin B. Starren</w:t>
      </w:r>
      <w:r w:rsidR="00CE54CD">
        <w:rPr>
          <w:rFonts w:eastAsia="Times New Roman"/>
        </w:rPr>
        <w:t>.</w:t>
      </w:r>
      <w:r w:rsidRPr="00B26772">
        <w:rPr>
          <w:rFonts w:eastAsia="Times New Roman"/>
        </w:rPr>
        <w:t xml:space="preserve"> 2006</w:t>
      </w:r>
      <w:r w:rsidR="00CE54CD">
        <w:rPr>
          <w:rFonts w:eastAsia="Times New Roman"/>
        </w:rPr>
        <w:t>.</w:t>
      </w:r>
      <w:r w:rsidRPr="00B26772">
        <w:rPr>
          <w:rFonts w:eastAsia="Times New Roman"/>
        </w:rPr>
        <w:t xml:space="preserve"> Design Features of Graphs in Health Risk Communication: A Systematic Review</w:t>
      </w:r>
      <w:r w:rsidR="00CE54CD">
        <w:rPr>
          <w:rFonts w:eastAsia="Times New Roman"/>
        </w:rPr>
        <w:t>.</w:t>
      </w:r>
      <w:r w:rsidRPr="00B26772">
        <w:rPr>
          <w:rFonts w:eastAsia="Times New Roman"/>
        </w:rPr>
        <w:t xml:space="preserve"> </w:t>
      </w:r>
      <w:r w:rsidRPr="00B26772">
        <w:rPr>
          <w:rFonts w:eastAsia="Times New Roman"/>
          <w:i/>
          <w:iCs/>
        </w:rPr>
        <w:t>Journal of the American Medical Informatics Association</w:t>
      </w:r>
      <w:r w:rsidRPr="00B26772">
        <w:rPr>
          <w:rFonts w:eastAsia="Times New Roman"/>
        </w:rPr>
        <w:t xml:space="preserve">, </w:t>
      </w:r>
      <w:r w:rsidRPr="00B26772">
        <w:rPr>
          <w:rFonts w:eastAsia="Times New Roman"/>
          <w:iCs/>
        </w:rPr>
        <w:t>13</w:t>
      </w:r>
      <w:r w:rsidR="00CE54CD">
        <w:rPr>
          <w:rFonts w:eastAsia="Times New Roman"/>
          <w:iCs/>
        </w:rPr>
        <w:t xml:space="preserve"> </w:t>
      </w:r>
      <w:r w:rsidRPr="00B26772">
        <w:rPr>
          <w:rFonts w:eastAsia="Times New Roman"/>
        </w:rPr>
        <w:t>(6)</w:t>
      </w:r>
      <w:r w:rsidR="00CE54CD">
        <w:rPr>
          <w:rFonts w:eastAsia="Times New Roman"/>
        </w:rPr>
        <w:t>:</w:t>
      </w:r>
      <w:r w:rsidRPr="00B26772">
        <w:rPr>
          <w:rFonts w:eastAsia="Times New Roman"/>
        </w:rPr>
        <w:t xml:space="preserve"> 608</w:t>
      </w:r>
      <w:r w:rsidR="00EC11C9" w:rsidRPr="00B26772">
        <w:t>–</w:t>
      </w:r>
      <w:r w:rsidRPr="00B26772">
        <w:rPr>
          <w:rFonts w:eastAsia="Times New Roman"/>
        </w:rPr>
        <w:t>618.</w:t>
      </w:r>
      <w:r w:rsidR="00F3793E">
        <w:rPr>
          <w:rFonts w:eastAsia="Times New Roman"/>
        </w:rPr>
        <w:t xml:space="preserve"> </w:t>
      </w:r>
    </w:p>
    <w:p w14:paraId="7A0F9E75" w14:textId="40E2557B" w:rsidR="007C3348" w:rsidRPr="00B26772" w:rsidRDefault="007C3348" w:rsidP="007C3348">
      <w:pPr>
        <w:spacing w:line="480" w:lineRule="auto"/>
        <w:ind w:left="720" w:hanging="720"/>
        <w:contextualSpacing/>
        <w:jc w:val="left"/>
        <w:rPr>
          <w:rFonts w:eastAsia="Times New Roman"/>
        </w:rPr>
      </w:pPr>
      <w:r w:rsidRPr="00B26772">
        <w:rPr>
          <w:shd w:val="clear" w:color="auto" w:fill="FFFFFF"/>
        </w:rPr>
        <w:t>Bergkvist, Lars, and John R. Rossiter</w:t>
      </w:r>
      <w:r w:rsidR="002B2291">
        <w:rPr>
          <w:shd w:val="clear" w:color="auto" w:fill="FFFFFF"/>
        </w:rPr>
        <w:t xml:space="preserve">. </w:t>
      </w:r>
      <w:r w:rsidRPr="00B26772">
        <w:rPr>
          <w:shd w:val="clear" w:color="auto" w:fill="FFFFFF"/>
        </w:rPr>
        <w:t>2007</w:t>
      </w:r>
      <w:r w:rsidR="002B2291">
        <w:rPr>
          <w:shd w:val="clear" w:color="auto" w:fill="FFFFFF"/>
        </w:rPr>
        <w:t xml:space="preserve">. </w:t>
      </w:r>
      <w:r w:rsidRPr="00B26772">
        <w:rPr>
          <w:shd w:val="clear" w:color="auto" w:fill="FFFFFF"/>
        </w:rPr>
        <w:t>The Predictive Validity of Multiple-Item Versus Single-Item Measures of the Same Constructs</w:t>
      </w:r>
      <w:r w:rsidR="002B2291">
        <w:rPr>
          <w:shd w:val="clear" w:color="auto" w:fill="FFFFFF"/>
        </w:rPr>
        <w:t>.</w:t>
      </w:r>
      <w:r w:rsidRPr="00B26772">
        <w:rPr>
          <w:shd w:val="clear" w:color="auto" w:fill="FFFFFF"/>
        </w:rPr>
        <w:t> </w:t>
      </w:r>
      <w:r w:rsidRPr="00B26772">
        <w:rPr>
          <w:i/>
          <w:iCs/>
          <w:shd w:val="clear" w:color="auto" w:fill="FFFFFF"/>
        </w:rPr>
        <w:t>Journal of Marketing Research</w:t>
      </w:r>
      <w:r w:rsidR="002B2291">
        <w:rPr>
          <w:i/>
          <w:iCs/>
          <w:shd w:val="clear" w:color="auto" w:fill="FFFFFF"/>
        </w:rPr>
        <w:t>,</w:t>
      </w:r>
      <w:r w:rsidRPr="00B26772">
        <w:rPr>
          <w:shd w:val="clear" w:color="auto" w:fill="FFFFFF"/>
        </w:rPr>
        <w:t> 44</w:t>
      </w:r>
      <w:r w:rsidR="002B2291">
        <w:rPr>
          <w:shd w:val="clear" w:color="auto" w:fill="FFFFFF"/>
        </w:rPr>
        <w:t xml:space="preserve"> </w:t>
      </w:r>
      <w:r w:rsidRPr="00B26772">
        <w:rPr>
          <w:shd w:val="clear" w:color="auto" w:fill="FFFFFF"/>
        </w:rPr>
        <w:t>(2)</w:t>
      </w:r>
      <w:r w:rsidR="002B2291">
        <w:rPr>
          <w:shd w:val="clear" w:color="auto" w:fill="FFFFFF"/>
        </w:rPr>
        <w:t>:</w:t>
      </w:r>
      <w:r w:rsidRPr="00B26772">
        <w:rPr>
          <w:shd w:val="clear" w:color="auto" w:fill="FFFFFF"/>
        </w:rPr>
        <w:t xml:space="preserve"> 175</w:t>
      </w:r>
      <w:r w:rsidR="00EC11C9" w:rsidRPr="00B26772">
        <w:t>–</w:t>
      </w:r>
      <w:r w:rsidRPr="00B26772">
        <w:rPr>
          <w:shd w:val="clear" w:color="auto" w:fill="FFFFFF"/>
        </w:rPr>
        <w:t>184.</w:t>
      </w:r>
    </w:p>
    <w:p w14:paraId="443ED8D4" w14:textId="65892325" w:rsidR="007C3348" w:rsidRPr="00B26772" w:rsidRDefault="007C3348" w:rsidP="007C3348">
      <w:pPr>
        <w:spacing w:line="480" w:lineRule="auto"/>
        <w:ind w:left="720" w:hanging="720"/>
        <w:contextualSpacing/>
        <w:jc w:val="left"/>
      </w:pPr>
      <w:r w:rsidRPr="00B26772">
        <w:t>Casler, Krista, Lydia Bickel, and Elizabeth Hackett</w:t>
      </w:r>
      <w:r w:rsidR="002B2291">
        <w:t xml:space="preserve">. </w:t>
      </w:r>
      <w:r w:rsidRPr="00B26772">
        <w:t>2013</w:t>
      </w:r>
      <w:r w:rsidR="002B2291">
        <w:t xml:space="preserve">. </w:t>
      </w:r>
      <w:r w:rsidRPr="00B26772">
        <w:t>Separate but Equal? A Comparison of Participants and Data Gathered via Amazon’s Mturk, Social Media, and Face-to-Face Behavioral Testing</w:t>
      </w:r>
      <w:r w:rsidR="002B2291">
        <w:t xml:space="preserve">. </w:t>
      </w:r>
      <w:r w:rsidRPr="00B26772">
        <w:rPr>
          <w:i/>
        </w:rPr>
        <w:t>Computers in Human Behavior</w:t>
      </w:r>
      <w:r w:rsidRPr="00B26772">
        <w:t>, 29</w:t>
      </w:r>
      <w:r w:rsidR="002B2291">
        <w:t xml:space="preserve">: </w:t>
      </w:r>
      <w:r w:rsidRPr="00B26772">
        <w:t>2156–2160.</w:t>
      </w:r>
    </w:p>
    <w:p w14:paraId="3A110D44" w14:textId="13D8BD24" w:rsidR="007C3348" w:rsidRPr="00B26772" w:rsidRDefault="007C3348" w:rsidP="007C3348">
      <w:pPr>
        <w:spacing w:line="480" w:lineRule="auto"/>
        <w:ind w:left="720" w:hanging="720"/>
        <w:contextualSpacing/>
        <w:jc w:val="left"/>
        <w:rPr>
          <w:rFonts w:eastAsiaTheme="minorHAnsi"/>
        </w:rPr>
      </w:pPr>
      <w:r w:rsidRPr="00B26772">
        <w:t>Chapman, Gretchen and Elliot Coups</w:t>
      </w:r>
      <w:r w:rsidR="002B2291">
        <w:t xml:space="preserve">. </w:t>
      </w:r>
      <w:r w:rsidRPr="00B26772">
        <w:t>1999</w:t>
      </w:r>
      <w:r w:rsidR="002B2291">
        <w:t xml:space="preserve">. </w:t>
      </w:r>
      <w:r w:rsidRPr="00B26772">
        <w:t>Predictors of Influenza Vaccine Acceptance Among Healthy Adults</w:t>
      </w:r>
      <w:r w:rsidR="002B2291">
        <w:t xml:space="preserve">. </w:t>
      </w:r>
      <w:r w:rsidRPr="00B26772">
        <w:rPr>
          <w:i/>
        </w:rPr>
        <w:t>Preventive Medicine</w:t>
      </w:r>
      <w:r w:rsidRPr="00B26772">
        <w:t>, 29</w:t>
      </w:r>
      <w:r w:rsidR="002B2291">
        <w:t xml:space="preserve"> </w:t>
      </w:r>
      <w:r w:rsidRPr="00B26772">
        <w:t>(4)</w:t>
      </w:r>
      <w:r w:rsidR="002B2291">
        <w:t>:</w:t>
      </w:r>
      <w:r w:rsidRPr="00B26772">
        <w:t xml:space="preserve"> 249</w:t>
      </w:r>
      <w:r w:rsidR="00EC11C9" w:rsidRPr="00B26772">
        <w:t>–</w:t>
      </w:r>
      <w:r w:rsidRPr="00B26772">
        <w:t>262.</w:t>
      </w:r>
    </w:p>
    <w:p w14:paraId="3B36B1C9" w14:textId="70394982" w:rsidR="007C3348" w:rsidRPr="00B26772" w:rsidRDefault="007C3348" w:rsidP="007C3348">
      <w:pPr>
        <w:spacing w:line="480" w:lineRule="auto"/>
        <w:ind w:left="720" w:hanging="720"/>
        <w:contextualSpacing/>
        <w:jc w:val="left"/>
        <w:rPr>
          <w:rFonts w:eastAsia="Times New Roman"/>
        </w:rPr>
      </w:pPr>
      <w:r w:rsidRPr="00B26772">
        <w:rPr>
          <w:rFonts w:eastAsia="Times New Roman"/>
        </w:rPr>
        <w:t>Denes-Raj, Veronika, Seymour Epstein</w:t>
      </w:r>
      <w:r w:rsidR="002B2291">
        <w:rPr>
          <w:rFonts w:eastAsia="Times New Roman"/>
        </w:rPr>
        <w:t>,</w:t>
      </w:r>
      <w:r w:rsidRPr="00B26772">
        <w:rPr>
          <w:rFonts w:eastAsia="Times New Roman"/>
        </w:rPr>
        <w:t xml:space="preserve"> and Jonathan Cole</w:t>
      </w:r>
      <w:r w:rsidR="002B2291">
        <w:rPr>
          <w:rFonts w:eastAsia="Times New Roman"/>
        </w:rPr>
        <w:t xml:space="preserve">. </w:t>
      </w:r>
      <w:r w:rsidRPr="00B26772">
        <w:rPr>
          <w:rFonts w:eastAsia="Times New Roman"/>
        </w:rPr>
        <w:t>1995</w:t>
      </w:r>
      <w:r w:rsidR="002B2291">
        <w:rPr>
          <w:rFonts w:eastAsia="Times New Roman"/>
        </w:rPr>
        <w:t xml:space="preserve">. </w:t>
      </w:r>
      <w:r w:rsidRPr="00B26772">
        <w:rPr>
          <w:rFonts w:eastAsia="Times New Roman"/>
        </w:rPr>
        <w:t>The Generality of the Ratio-Bias Phenomenon</w:t>
      </w:r>
      <w:r w:rsidR="002B2291">
        <w:rPr>
          <w:rFonts w:eastAsia="Times New Roman"/>
        </w:rPr>
        <w:t xml:space="preserve">. </w:t>
      </w:r>
      <w:r w:rsidRPr="00B26772">
        <w:rPr>
          <w:rFonts w:eastAsia="Times New Roman"/>
          <w:i/>
          <w:iCs/>
        </w:rPr>
        <w:t>Personality and Social Psychology Bulletin</w:t>
      </w:r>
      <w:r w:rsidRPr="00B26772">
        <w:rPr>
          <w:rFonts w:eastAsia="Times New Roman"/>
        </w:rPr>
        <w:t xml:space="preserve">, </w:t>
      </w:r>
      <w:r w:rsidRPr="00B26772">
        <w:rPr>
          <w:rFonts w:eastAsia="Times New Roman"/>
          <w:iCs/>
        </w:rPr>
        <w:t>21</w:t>
      </w:r>
      <w:r w:rsidR="002B2291">
        <w:rPr>
          <w:rFonts w:eastAsia="Times New Roman"/>
          <w:iCs/>
        </w:rPr>
        <w:t xml:space="preserve"> </w:t>
      </w:r>
      <w:r w:rsidRPr="00B26772">
        <w:rPr>
          <w:rFonts w:eastAsia="Times New Roman"/>
        </w:rPr>
        <w:t>(10)</w:t>
      </w:r>
      <w:r w:rsidR="002B2291">
        <w:rPr>
          <w:rFonts w:eastAsia="Times New Roman"/>
        </w:rPr>
        <w:t>:</w:t>
      </w:r>
      <w:r w:rsidRPr="00B26772">
        <w:rPr>
          <w:rFonts w:eastAsia="Times New Roman"/>
        </w:rPr>
        <w:t xml:space="preserve"> 1083</w:t>
      </w:r>
      <w:r w:rsidR="00EC11C9" w:rsidRPr="00B26772">
        <w:t>–</w:t>
      </w:r>
      <w:r w:rsidRPr="00B26772">
        <w:rPr>
          <w:rFonts w:eastAsia="Times New Roman"/>
        </w:rPr>
        <w:t xml:space="preserve">1092. </w:t>
      </w:r>
    </w:p>
    <w:p w14:paraId="3C4F3BD2" w14:textId="43F7F8B2" w:rsidR="007C3348" w:rsidRPr="00B26772" w:rsidRDefault="007C3348" w:rsidP="007C3348">
      <w:pPr>
        <w:spacing w:line="480" w:lineRule="auto"/>
        <w:ind w:left="720" w:hanging="720"/>
        <w:contextualSpacing/>
        <w:jc w:val="left"/>
        <w:rPr>
          <w:rFonts w:eastAsia="Times New Roman"/>
        </w:rPr>
      </w:pPr>
      <w:r w:rsidRPr="00B26772">
        <w:rPr>
          <w:rFonts w:eastAsia="Times New Roman"/>
        </w:rPr>
        <w:t>Fredrickson, Doren D., Terry C. Davis, Connie L. Arnold, Estela M. Kennen, Sharon G. Humiston, J. Thomas Cross, and Joseph A. Bocchini</w:t>
      </w:r>
      <w:r w:rsidR="002B2291">
        <w:rPr>
          <w:rFonts w:eastAsia="Times New Roman"/>
        </w:rPr>
        <w:t xml:space="preserve">. </w:t>
      </w:r>
      <w:r w:rsidRPr="00B26772">
        <w:rPr>
          <w:rFonts w:eastAsia="Times New Roman"/>
        </w:rPr>
        <w:t>2004</w:t>
      </w:r>
      <w:r w:rsidR="002B2291">
        <w:rPr>
          <w:rFonts w:eastAsia="Times New Roman"/>
        </w:rPr>
        <w:t xml:space="preserve">. </w:t>
      </w:r>
      <w:r w:rsidRPr="00B26772">
        <w:rPr>
          <w:rFonts w:eastAsia="Times New Roman"/>
        </w:rPr>
        <w:t>Childhood Immunization Refusal: Provider and Parent Perceptions</w:t>
      </w:r>
      <w:r w:rsidR="002B2291">
        <w:rPr>
          <w:rFonts w:eastAsia="Times New Roman"/>
        </w:rPr>
        <w:t xml:space="preserve">. </w:t>
      </w:r>
      <w:r w:rsidRPr="00B26772">
        <w:rPr>
          <w:rFonts w:eastAsia="Times New Roman"/>
          <w:i/>
          <w:iCs/>
        </w:rPr>
        <w:t>Family Medicine-Kansas City</w:t>
      </w:r>
      <w:r w:rsidRPr="00B26772">
        <w:rPr>
          <w:rFonts w:eastAsia="Times New Roman"/>
        </w:rPr>
        <w:t xml:space="preserve">, </w:t>
      </w:r>
      <w:r w:rsidRPr="00B26772">
        <w:rPr>
          <w:rFonts w:eastAsia="Times New Roman"/>
          <w:iCs/>
        </w:rPr>
        <w:t>36</w:t>
      </w:r>
      <w:r w:rsidR="002B2291">
        <w:rPr>
          <w:rFonts w:eastAsia="Times New Roman"/>
        </w:rPr>
        <w:t>:</w:t>
      </w:r>
      <w:r w:rsidRPr="00B26772">
        <w:rPr>
          <w:rFonts w:eastAsia="Times New Roman"/>
        </w:rPr>
        <w:t xml:space="preserve"> 431</w:t>
      </w:r>
      <w:r w:rsidR="00EC11C9" w:rsidRPr="00B26772">
        <w:t>–</w:t>
      </w:r>
      <w:r w:rsidRPr="00B26772">
        <w:rPr>
          <w:rFonts w:eastAsia="Times New Roman"/>
        </w:rPr>
        <w:t>439.</w:t>
      </w:r>
    </w:p>
    <w:p w14:paraId="46B6ABEC" w14:textId="79F6D88F" w:rsidR="007C3348" w:rsidRPr="00B26772" w:rsidRDefault="007C3348" w:rsidP="007C3348">
      <w:pPr>
        <w:spacing w:line="480" w:lineRule="auto"/>
        <w:ind w:left="720" w:hanging="720"/>
        <w:contextualSpacing/>
        <w:jc w:val="left"/>
        <w:rPr>
          <w:rFonts w:eastAsia="Times New Roman"/>
        </w:rPr>
      </w:pPr>
      <w:r w:rsidRPr="00B26772">
        <w:rPr>
          <w:rFonts w:eastAsia="Times New Roman"/>
        </w:rPr>
        <w:t>Fuller, Richard, Nigel Dudley, and Jon Blacktop</w:t>
      </w:r>
      <w:r w:rsidR="002B2291">
        <w:rPr>
          <w:rFonts w:eastAsia="Times New Roman"/>
        </w:rPr>
        <w:t xml:space="preserve">. </w:t>
      </w:r>
      <w:r w:rsidRPr="00B26772">
        <w:rPr>
          <w:rFonts w:eastAsia="Times New Roman"/>
        </w:rPr>
        <w:t>2002</w:t>
      </w:r>
      <w:r w:rsidR="002B2291">
        <w:rPr>
          <w:rFonts w:eastAsia="Times New Roman"/>
        </w:rPr>
        <w:t xml:space="preserve">. </w:t>
      </w:r>
      <w:r w:rsidRPr="00B26772">
        <w:rPr>
          <w:rFonts w:eastAsia="Times New Roman"/>
        </w:rPr>
        <w:t>How Informed is Consent? Understanding of Pictorial and Verbal Probability Information by Medical Inpatients</w:t>
      </w:r>
      <w:r w:rsidR="002B2291">
        <w:rPr>
          <w:rFonts w:eastAsia="Times New Roman"/>
        </w:rPr>
        <w:t xml:space="preserve">. </w:t>
      </w:r>
      <w:r w:rsidRPr="00B26772">
        <w:rPr>
          <w:rFonts w:eastAsia="Times New Roman"/>
          <w:i/>
          <w:iCs/>
        </w:rPr>
        <w:t>Postgraduate Medical Journal</w:t>
      </w:r>
      <w:r w:rsidRPr="00B26772">
        <w:rPr>
          <w:rFonts w:eastAsia="Times New Roman"/>
        </w:rPr>
        <w:t xml:space="preserve">, </w:t>
      </w:r>
      <w:r w:rsidRPr="00B26772">
        <w:rPr>
          <w:rFonts w:eastAsia="Times New Roman"/>
          <w:iCs/>
        </w:rPr>
        <w:t>78</w:t>
      </w:r>
      <w:r w:rsidR="002B2291">
        <w:rPr>
          <w:rFonts w:eastAsia="Times New Roman"/>
          <w:iCs/>
        </w:rPr>
        <w:t xml:space="preserve"> </w:t>
      </w:r>
      <w:r w:rsidRPr="00B26772">
        <w:rPr>
          <w:rFonts w:eastAsia="Times New Roman"/>
        </w:rPr>
        <w:t>(923)</w:t>
      </w:r>
      <w:r w:rsidR="002B2291">
        <w:rPr>
          <w:rFonts w:eastAsia="Times New Roman"/>
        </w:rPr>
        <w:t xml:space="preserve">: </w:t>
      </w:r>
      <w:r w:rsidRPr="00B26772">
        <w:rPr>
          <w:rFonts w:eastAsia="Times New Roman"/>
        </w:rPr>
        <w:t>543</w:t>
      </w:r>
      <w:r w:rsidR="00EC11C9" w:rsidRPr="00B26772">
        <w:t>–</w:t>
      </w:r>
      <w:r w:rsidRPr="00B26772">
        <w:rPr>
          <w:rFonts w:eastAsia="Times New Roman"/>
        </w:rPr>
        <w:t>544.</w:t>
      </w:r>
    </w:p>
    <w:p w14:paraId="68EE6542" w14:textId="1D5446FC" w:rsidR="007C3348" w:rsidRPr="00B26772" w:rsidRDefault="007C3348" w:rsidP="007C3348">
      <w:pPr>
        <w:spacing w:line="480" w:lineRule="auto"/>
        <w:ind w:left="720" w:hanging="720"/>
        <w:contextualSpacing/>
        <w:jc w:val="left"/>
        <w:rPr>
          <w:rFonts w:eastAsia="Times New Roman"/>
        </w:rPr>
      </w:pPr>
      <w:bookmarkStart w:id="14" w:name="_Hlk498506912"/>
      <w:r w:rsidRPr="00B26772">
        <w:rPr>
          <w:rFonts w:eastAsia="Times New Roman"/>
        </w:rPr>
        <w:t>Galesic, Mirta, Rocio Garcia-Retamero, and Gerd Gigerenzer</w:t>
      </w:r>
      <w:r w:rsidR="002B2291">
        <w:rPr>
          <w:rFonts w:eastAsia="Times New Roman"/>
        </w:rPr>
        <w:t xml:space="preserve">. </w:t>
      </w:r>
      <w:r w:rsidRPr="00B26772">
        <w:rPr>
          <w:rFonts w:eastAsia="Times New Roman"/>
        </w:rPr>
        <w:t>2009</w:t>
      </w:r>
      <w:r w:rsidR="002B2291">
        <w:rPr>
          <w:rFonts w:eastAsia="Times New Roman"/>
        </w:rPr>
        <w:t xml:space="preserve">. </w:t>
      </w:r>
      <w:r w:rsidRPr="00B26772">
        <w:rPr>
          <w:rFonts w:eastAsia="Times New Roman"/>
        </w:rPr>
        <w:t>Using Icon Arrays to Communicate Medical Risks: Overcoming Low Numeracy</w:t>
      </w:r>
      <w:r w:rsidR="002B2291">
        <w:rPr>
          <w:rFonts w:eastAsia="Times New Roman"/>
        </w:rPr>
        <w:t xml:space="preserve">. </w:t>
      </w:r>
      <w:r w:rsidRPr="00B26772">
        <w:rPr>
          <w:rFonts w:eastAsia="Times New Roman"/>
          <w:i/>
          <w:iCs/>
        </w:rPr>
        <w:t>Health Psychology,</w:t>
      </w:r>
      <w:r w:rsidRPr="00B26772">
        <w:rPr>
          <w:rFonts w:eastAsia="Times New Roman"/>
        </w:rPr>
        <w:t xml:space="preserve"> 28</w:t>
      </w:r>
      <w:r w:rsidR="002B2291">
        <w:rPr>
          <w:rFonts w:eastAsia="Times New Roman"/>
        </w:rPr>
        <w:t xml:space="preserve"> </w:t>
      </w:r>
      <w:r w:rsidRPr="00B26772">
        <w:rPr>
          <w:rFonts w:eastAsia="Times New Roman"/>
        </w:rPr>
        <w:t>(2)</w:t>
      </w:r>
      <w:r w:rsidR="002B2291">
        <w:rPr>
          <w:rFonts w:eastAsia="Times New Roman"/>
        </w:rPr>
        <w:t>:</w:t>
      </w:r>
      <w:r w:rsidRPr="00B26772">
        <w:rPr>
          <w:rFonts w:eastAsia="Times New Roman"/>
        </w:rPr>
        <w:t xml:space="preserve"> 210</w:t>
      </w:r>
      <w:r w:rsidR="00EC11C9" w:rsidRPr="00B26772">
        <w:t>–</w:t>
      </w:r>
      <w:r w:rsidRPr="00B26772">
        <w:rPr>
          <w:rFonts w:eastAsia="Times New Roman"/>
        </w:rPr>
        <w:t>16.</w:t>
      </w:r>
    </w:p>
    <w:bookmarkEnd w:id="14"/>
    <w:p w14:paraId="1CAF7DBB" w14:textId="1D1CC703" w:rsidR="007C3348" w:rsidRPr="00B26772" w:rsidRDefault="007C3348" w:rsidP="007C3348">
      <w:pPr>
        <w:spacing w:line="480" w:lineRule="auto"/>
        <w:ind w:left="720" w:hanging="720"/>
        <w:contextualSpacing/>
        <w:jc w:val="left"/>
        <w:rPr>
          <w:rFonts w:eastAsia="Times New Roman"/>
        </w:rPr>
      </w:pPr>
      <w:r w:rsidRPr="00B26772">
        <w:rPr>
          <w:rFonts w:eastAsia="Times New Roman"/>
        </w:rPr>
        <w:lastRenderedPageBreak/>
        <w:t>Garcia-Retamero, Rocio, and Mirta Galesic</w:t>
      </w:r>
      <w:r w:rsidR="00536DD1">
        <w:rPr>
          <w:rFonts w:eastAsia="Times New Roman"/>
        </w:rPr>
        <w:t xml:space="preserve">. </w:t>
      </w:r>
      <w:r w:rsidRPr="00B26772">
        <w:rPr>
          <w:rFonts w:eastAsia="Times New Roman"/>
        </w:rPr>
        <w:t>2010</w:t>
      </w:r>
      <w:r w:rsidR="006231A6">
        <w:rPr>
          <w:rFonts w:eastAsia="Times New Roman"/>
        </w:rPr>
        <w:t xml:space="preserve">. </w:t>
      </w:r>
      <w:r w:rsidRPr="00B26772">
        <w:t>Communicating Treatment Risk Reduction to People with Low Numeracy Skills: A Cross-Cultural Comparison</w:t>
      </w:r>
      <w:r w:rsidR="0018520B">
        <w:t xml:space="preserve">. </w:t>
      </w:r>
      <w:r w:rsidRPr="00B26772">
        <w:rPr>
          <w:i/>
        </w:rPr>
        <w:t>American Journal of Public Health</w:t>
      </w:r>
      <w:r w:rsidRPr="00B26772">
        <w:t>, 99</w:t>
      </w:r>
      <w:r w:rsidR="0018520B">
        <w:t xml:space="preserve"> </w:t>
      </w:r>
      <w:r w:rsidRPr="00B26772">
        <w:t>(12)</w:t>
      </w:r>
      <w:r w:rsidR="0018520B">
        <w:t>:</w:t>
      </w:r>
      <w:r w:rsidRPr="00B26772">
        <w:t xml:space="preserve"> 2196</w:t>
      </w:r>
      <w:r w:rsidR="00EC11C9" w:rsidRPr="00B26772">
        <w:t>–</w:t>
      </w:r>
      <w:r w:rsidRPr="00B26772">
        <w:t>2202.</w:t>
      </w:r>
    </w:p>
    <w:p w14:paraId="13771FDD" w14:textId="3A8C43E4" w:rsidR="007C3348" w:rsidRPr="00B26772" w:rsidRDefault="0018520B" w:rsidP="007C3348">
      <w:pPr>
        <w:spacing w:line="480" w:lineRule="auto"/>
        <w:ind w:left="720" w:hanging="720"/>
        <w:contextualSpacing/>
        <w:jc w:val="left"/>
        <w:rPr>
          <w:rFonts w:eastAsia="Times New Roman"/>
        </w:rPr>
      </w:pPr>
      <w:r w:rsidRPr="00B26772">
        <w:rPr>
          <w:rFonts w:eastAsia="Times New Roman"/>
          <w:strike/>
        </w:rPr>
        <w:t>------------</w:t>
      </w:r>
      <w:r w:rsidRPr="00B26772">
        <w:rPr>
          <w:rFonts w:eastAsia="Times New Roman"/>
        </w:rPr>
        <w:t>,</w:t>
      </w:r>
      <w:r>
        <w:rPr>
          <w:rFonts w:eastAsia="Times New Roman"/>
        </w:rPr>
        <w:t xml:space="preserve"> </w:t>
      </w:r>
      <w:r w:rsidR="007C3348" w:rsidRPr="00B26772">
        <w:t>and Edward T. Cokely</w:t>
      </w:r>
      <w:r>
        <w:t xml:space="preserve">. </w:t>
      </w:r>
      <w:r w:rsidR="007C3348" w:rsidRPr="00B26772">
        <w:t>2017</w:t>
      </w:r>
      <w:r>
        <w:t xml:space="preserve">. </w:t>
      </w:r>
      <w:r w:rsidR="007C3348" w:rsidRPr="00B26772">
        <w:t>Designing Visual Aids that Promote Risk Literacy: A Systematic Review of Health Research and Evidence-Based Design Heuristics</w:t>
      </w:r>
      <w:r>
        <w:t xml:space="preserve">. </w:t>
      </w:r>
      <w:r w:rsidR="007C3348" w:rsidRPr="00B26772">
        <w:rPr>
          <w:i/>
        </w:rPr>
        <w:t>Human Factors</w:t>
      </w:r>
      <w:r>
        <w:t>, 59 (4): 582</w:t>
      </w:r>
      <w:r w:rsidR="00EC11C9" w:rsidRPr="00B26772">
        <w:t>–</w:t>
      </w:r>
      <w:r>
        <w:t xml:space="preserve">627. </w:t>
      </w:r>
    </w:p>
    <w:p w14:paraId="5C0E2C36" w14:textId="38161009" w:rsidR="007C3348" w:rsidRPr="00B26772" w:rsidRDefault="007C3348" w:rsidP="007C3348">
      <w:pPr>
        <w:spacing w:line="480" w:lineRule="auto"/>
        <w:ind w:left="720" w:hanging="720"/>
        <w:contextualSpacing/>
        <w:jc w:val="left"/>
        <w:rPr>
          <w:rFonts w:eastAsia="Times New Roman"/>
        </w:rPr>
      </w:pPr>
      <w:r w:rsidRPr="00B26772">
        <w:rPr>
          <w:rFonts w:eastAsia="Times New Roman"/>
          <w:strike/>
        </w:rPr>
        <w:t>------------</w:t>
      </w:r>
      <w:r w:rsidRPr="00B26772">
        <w:rPr>
          <w:rFonts w:eastAsia="Times New Roman"/>
        </w:rPr>
        <w:t>, Mirta Galesic, and Gerd Gigerenzer</w:t>
      </w:r>
      <w:r w:rsidR="0018520B">
        <w:rPr>
          <w:rFonts w:eastAsia="Times New Roman"/>
        </w:rPr>
        <w:t xml:space="preserve">. </w:t>
      </w:r>
      <w:r w:rsidRPr="00B26772">
        <w:rPr>
          <w:rFonts w:eastAsia="Times New Roman"/>
        </w:rPr>
        <w:t>2010</w:t>
      </w:r>
      <w:r w:rsidR="0018520B">
        <w:rPr>
          <w:rFonts w:eastAsia="Times New Roman"/>
        </w:rPr>
        <w:t xml:space="preserve">. </w:t>
      </w:r>
      <w:r w:rsidRPr="00B26772">
        <w:rPr>
          <w:rFonts w:eastAsia="Times New Roman"/>
        </w:rPr>
        <w:t>Do Icon Arrays Help Reduce Denominator Neglect?</w:t>
      </w:r>
      <w:r w:rsidR="0018520B">
        <w:rPr>
          <w:rFonts w:eastAsia="Times New Roman"/>
        </w:rPr>
        <w:t xml:space="preserve"> </w:t>
      </w:r>
      <w:r w:rsidRPr="00B26772">
        <w:rPr>
          <w:rFonts w:eastAsia="Times New Roman"/>
          <w:i/>
          <w:iCs/>
        </w:rPr>
        <w:t>Medical Decision Making,</w:t>
      </w:r>
      <w:r w:rsidRPr="00B26772">
        <w:rPr>
          <w:rFonts w:eastAsia="Times New Roman"/>
        </w:rPr>
        <w:t xml:space="preserve"> 30</w:t>
      </w:r>
      <w:r w:rsidR="0018520B">
        <w:rPr>
          <w:rFonts w:eastAsia="Times New Roman"/>
        </w:rPr>
        <w:t xml:space="preserve"> </w:t>
      </w:r>
      <w:r w:rsidRPr="00B26772">
        <w:rPr>
          <w:rFonts w:eastAsia="Times New Roman"/>
        </w:rPr>
        <w:t>(6)</w:t>
      </w:r>
      <w:r w:rsidR="0018520B">
        <w:rPr>
          <w:rFonts w:eastAsia="Times New Roman"/>
        </w:rPr>
        <w:t>:</w:t>
      </w:r>
      <w:r w:rsidRPr="00B26772">
        <w:rPr>
          <w:rFonts w:eastAsia="Times New Roman"/>
        </w:rPr>
        <w:t xml:space="preserve"> 672–</w:t>
      </w:r>
      <w:r w:rsidR="0018520B">
        <w:rPr>
          <w:rFonts w:eastAsia="Times New Roman"/>
        </w:rPr>
        <w:t>6</w:t>
      </w:r>
      <w:r w:rsidRPr="00B26772">
        <w:rPr>
          <w:rFonts w:eastAsia="Times New Roman"/>
        </w:rPr>
        <w:t>84.</w:t>
      </w:r>
    </w:p>
    <w:p w14:paraId="26C30609" w14:textId="3604ADB4" w:rsidR="007C3348" w:rsidRPr="00B26772" w:rsidRDefault="007C3348" w:rsidP="007C3348">
      <w:pPr>
        <w:spacing w:line="480" w:lineRule="auto"/>
        <w:ind w:left="720" w:hanging="720"/>
        <w:contextualSpacing/>
        <w:jc w:val="left"/>
        <w:rPr>
          <w:rFonts w:eastAsia="Times New Roman"/>
        </w:rPr>
      </w:pPr>
      <w:r w:rsidRPr="00B26772">
        <w:rPr>
          <w:rFonts w:eastAsia="Times New Roman"/>
        </w:rPr>
        <w:t>Grimes, David A., and Gillian R. Snively</w:t>
      </w:r>
      <w:r w:rsidR="0018520B">
        <w:rPr>
          <w:rFonts w:eastAsia="Times New Roman"/>
        </w:rPr>
        <w:t xml:space="preserve">. </w:t>
      </w:r>
      <w:r w:rsidRPr="00B26772">
        <w:rPr>
          <w:rFonts w:eastAsia="Times New Roman"/>
        </w:rPr>
        <w:t>1999</w:t>
      </w:r>
      <w:r w:rsidR="0018520B">
        <w:rPr>
          <w:rFonts w:eastAsia="Times New Roman"/>
        </w:rPr>
        <w:t xml:space="preserve">. </w:t>
      </w:r>
      <w:r w:rsidRPr="00B26772">
        <w:rPr>
          <w:rFonts w:eastAsia="Times New Roman"/>
        </w:rPr>
        <w:t>Patients’ Understanding of Medical Risks: Implications for Genetic Counseling</w:t>
      </w:r>
      <w:r w:rsidR="0018520B">
        <w:rPr>
          <w:rFonts w:eastAsia="Times New Roman"/>
        </w:rPr>
        <w:t xml:space="preserve">. </w:t>
      </w:r>
      <w:r w:rsidRPr="00B26772">
        <w:rPr>
          <w:rFonts w:eastAsia="Times New Roman"/>
          <w:i/>
          <w:iCs/>
        </w:rPr>
        <w:t>Obstetrics and Gynecology,</w:t>
      </w:r>
      <w:r w:rsidRPr="00B26772">
        <w:rPr>
          <w:rFonts w:eastAsia="Times New Roman"/>
        </w:rPr>
        <w:t xml:space="preserve"> 93</w:t>
      </w:r>
      <w:r w:rsidR="0018520B">
        <w:rPr>
          <w:rFonts w:eastAsia="Times New Roman"/>
        </w:rPr>
        <w:t xml:space="preserve"> </w:t>
      </w:r>
      <w:r w:rsidRPr="00B26772">
        <w:rPr>
          <w:rFonts w:eastAsia="Times New Roman"/>
        </w:rPr>
        <w:t>(6)</w:t>
      </w:r>
      <w:r w:rsidR="0018520B">
        <w:rPr>
          <w:rFonts w:eastAsia="Times New Roman"/>
        </w:rPr>
        <w:t>:</w:t>
      </w:r>
      <w:r w:rsidRPr="00B26772">
        <w:rPr>
          <w:rFonts w:eastAsia="Times New Roman"/>
        </w:rPr>
        <w:t xml:space="preserve"> 910–</w:t>
      </w:r>
      <w:r w:rsidR="0018520B">
        <w:rPr>
          <w:rFonts w:eastAsia="Times New Roman"/>
        </w:rPr>
        <w:t>9</w:t>
      </w:r>
      <w:r w:rsidRPr="00B26772">
        <w:rPr>
          <w:rFonts w:eastAsia="Times New Roman"/>
        </w:rPr>
        <w:t>14.</w:t>
      </w:r>
    </w:p>
    <w:p w14:paraId="22CB48C2" w14:textId="12ABDE48" w:rsidR="007C3348" w:rsidRPr="00B26772" w:rsidRDefault="007C3348" w:rsidP="007C3348">
      <w:pPr>
        <w:spacing w:line="480" w:lineRule="auto"/>
        <w:ind w:left="720" w:hanging="720"/>
        <w:contextualSpacing/>
        <w:jc w:val="left"/>
        <w:rPr>
          <w:rFonts w:eastAsia="Times New Roman"/>
        </w:rPr>
      </w:pPr>
      <w:r w:rsidRPr="00B26772">
        <w:rPr>
          <w:rFonts w:eastAsia="Times New Roman"/>
        </w:rPr>
        <w:t>Hibbard, Judith H., and Ellen Peters</w:t>
      </w:r>
      <w:r w:rsidR="0018520B">
        <w:rPr>
          <w:rFonts w:eastAsia="Times New Roman"/>
        </w:rPr>
        <w:t xml:space="preserve">. </w:t>
      </w:r>
      <w:r w:rsidRPr="00B26772">
        <w:rPr>
          <w:rFonts w:eastAsia="Times New Roman"/>
        </w:rPr>
        <w:t>2003</w:t>
      </w:r>
      <w:r w:rsidR="0018520B">
        <w:rPr>
          <w:rFonts w:eastAsia="Times New Roman"/>
        </w:rPr>
        <w:t xml:space="preserve">. </w:t>
      </w:r>
      <w:r w:rsidRPr="00B26772">
        <w:rPr>
          <w:rFonts w:eastAsia="Times New Roman"/>
        </w:rPr>
        <w:t>Supporting Informed Consumer Health Care Decisions: Data Presentation Approaches that Facilitate the Use of Information in Choice</w:t>
      </w:r>
      <w:r w:rsidR="0018520B">
        <w:rPr>
          <w:rFonts w:eastAsia="Times New Roman"/>
        </w:rPr>
        <w:t xml:space="preserve">. </w:t>
      </w:r>
      <w:r w:rsidRPr="00B26772">
        <w:rPr>
          <w:rFonts w:eastAsia="Times New Roman"/>
          <w:i/>
          <w:iCs/>
        </w:rPr>
        <w:t>Annual Review of Public Health</w:t>
      </w:r>
      <w:r w:rsidRPr="00B26772">
        <w:rPr>
          <w:rFonts w:eastAsia="Times New Roman"/>
        </w:rPr>
        <w:t xml:space="preserve">, </w:t>
      </w:r>
      <w:r w:rsidRPr="00B26772">
        <w:rPr>
          <w:rFonts w:eastAsia="Times New Roman"/>
          <w:iCs/>
        </w:rPr>
        <w:t>24</w:t>
      </w:r>
      <w:r w:rsidR="0018520B">
        <w:rPr>
          <w:rFonts w:eastAsia="Times New Roman"/>
          <w:iCs/>
        </w:rPr>
        <w:t xml:space="preserve"> </w:t>
      </w:r>
      <w:r w:rsidRPr="00B26772">
        <w:rPr>
          <w:rFonts w:eastAsia="Times New Roman"/>
        </w:rPr>
        <w:t>(1)</w:t>
      </w:r>
      <w:r w:rsidR="0018520B">
        <w:rPr>
          <w:rFonts w:eastAsia="Times New Roman"/>
        </w:rPr>
        <w:t xml:space="preserve">: </w:t>
      </w:r>
      <w:r w:rsidRPr="00B26772">
        <w:rPr>
          <w:rFonts w:eastAsia="Times New Roman"/>
        </w:rPr>
        <w:t>413</w:t>
      </w:r>
      <w:r w:rsidR="00EC11C9" w:rsidRPr="00B26772">
        <w:t>–</w:t>
      </w:r>
      <w:r w:rsidRPr="00B26772">
        <w:rPr>
          <w:rFonts w:eastAsia="Times New Roman"/>
        </w:rPr>
        <w:t>433.</w:t>
      </w:r>
    </w:p>
    <w:p w14:paraId="6BB30ADF" w14:textId="47DE46FD" w:rsidR="007C3348" w:rsidRPr="00B26772" w:rsidRDefault="007C3348" w:rsidP="007C3348">
      <w:pPr>
        <w:spacing w:line="480" w:lineRule="auto"/>
        <w:ind w:left="720" w:hanging="720"/>
        <w:contextualSpacing/>
        <w:jc w:val="left"/>
        <w:rPr>
          <w:rFonts w:eastAsia="Times New Roman"/>
        </w:rPr>
      </w:pPr>
      <w:r w:rsidRPr="00B26772">
        <w:rPr>
          <w:shd w:val="clear" w:color="auto" w:fill="FFFFFF"/>
        </w:rPr>
        <w:t>Miron-Shatz, Talya, Yaniv Hanoch, Dana Graef, and Michal Sagi</w:t>
      </w:r>
      <w:r w:rsidR="0018520B">
        <w:rPr>
          <w:shd w:val="clear" w:color="auto" w:fill="FFFFFF"/>
        </w:rPr>
        <w:t xml:space="preserve">. </w:t>
      </w:r>
      <w:r w:rsidRPr="00B26772">
        <w:rPr>
          <w:shd w:val="clear" w:color="auto" w:fill="FFFFFF"/>
        </w:rPr>
        <w:t>2009</w:t>
      </w:r>
      <w:r w:rsidR="0018520B">
        <w:rPr>
          <w:shd w:val="clear" w:color="auto" w:fill="FFFFFF"/>
        </w:rPr>
        <w:t xml:space="preserve">. </w:t>
      </w:r>
      <w:r w:rsidRPr="00B26772">
        <w:rPr>
          <w:shd w:val="clear" w:color="auto" w:fill="FFFFFF"/>
        </w:rPr>
        <w:t>Presentation Format Affects Comprehension and Risk Assessment: The Case of Prenatal Screening</w:t>
      </w:r>
      <w:r w:rsidR="0018520B">
        <w:rPr>
          <w:shd w:val="clear" w:color="auto" w:fill="FFFFFF"/>
        </w:rPr>
        <w:t xml:space="preserve">. </w:t>
      </w:r>
      <w:r w:rsidRPr="00B26772">
        <w:rPr>
          <w:i/>
          <w:iCs/>
          <w:shd w:val="clear" w:color="auto" w:fill="FFFFFF"/>
        </w:rPr>
        <w:t>Journal of Health Communication,</w:t>
      </w:r>
      <w:r w:rsidR="0018520B">
        <w:rPr>
          <w:shd w:val="clear" w:color="auto" w:fill="FFFFFF"/>
        </w:rPr>
        <w:t xml:space="preserve"> </w:t>
      </w:r>
      <w:r w:rsidRPr="00B26772">
        <w:rPr>
          <w:shd w:val="clear" w:color="auto" w:fill="FFFFFF"/>
        </w:rPr>
        <w:t>14</w:t>
      </w:r>
      <w:r w:rsidR="0018520B">
        <w:rPr>
          <w:shd w:val="clear" w:color="auto" w:fill="FFFFFF"/>
        </w:rPr>
        <w:t xml:space="preserve"> </w:t>
      </w:r>
      <w:r w:rsidRPr="00B26772">
        <w:rPr>
          <w:shd w:val="clear" w:color="auto" w:fill="FFFFFF"/>
        </w:rPr>
        <w:t>(5)</w:t>
      </w:r>
      <w:r w:rsidR="0018520B">
        <w:rPr>
          <w:shd w:val="clear" w:color="auto" w:fill="FFFFFF"/>
        </w:rPr>
        <w:t xml:space="preserve">: </w:t>
      </w:r>
      <w:r w:rsidRPr="00B26772">
        <w:rPr>
          <w:shd w:val="clear" w:color="auto" w:fill="FFFFFF"/>
        </w:rPr>
        <w:t>439</w:t>
      </w:r>
      <w:r w:rsidR="00EC11C9" w:rsidRPr="00B26772">
        <w:t>–</w:t>
      </w:r>
      <w:r w:rsidRPr="00B26772">
        <w:rPr>
          <w:shd w:val="clear" w:color="auto" w:fill="FFFFFF"/>
        </w:rPr>
        <w:t>450.</w:t>
      </w:r>
    </w:p>
    <w:p w14:paraId="4EB50964" w14:textId="60CBD539" w:rsidR="007C3348" w:rsidRPr="00B26772" w:rsidRDefault="007C3348" w:rsidP="007C3348">
      <w:pPr>
        <w:spacing w:line="480" w:lineRule="auto"/>
        <w:ind w:left="720" w:hanging="720"/>
        <w:contextualSpacing/>
        <w:jc w:val="left"/>
        <w:rPr>
          <w:rFonts w:eastAsia="Times New Roman"/>
        </w:rPr>
      </w:pPr>
      <w:r w:rsidRPr="00B26772">
        <w:t>Petrova, Dafina, Rocio Garcia-Retamero, and Edward T. Cokely</w:t>
      </w:r>
      <w:r w:rsidR="0018520B">
        <w:t xml:space="preserve">. </w:t>
      </w:r>
      <w:r w:rsidRPr="00B26772">
        <w:t>2015</w:t>
      </w:r>
      <w:r w:rsidR="0018520B">
        <w:t xml:space="preserve">. </w:t>
      </w:r>
      <w:r w:rsidRPr="00B26772">
        <w:t>Understanding the Harms and Benefits of Cancer Screening: A Model of Factors that Shape Informed Decision Making</w:t>
      </w:r>
      <w:r w:rsidR="0018520B">
        <w:t>.</w:t>
      </w:r>
      <w:r w:rsidRPr="00B26772">
        <w:t xml:space="preserve"> </w:t>
      </w:r>
      <w:r w:rsidRPr="00B26772">
        <w:rPr>
          <w:i/>
        </w:rPr>
        <w:t>Medical Decision Making</w:t>
      </w:r>
      <w:r w:rsidRPr="00B26772">
        <w:t>, 35</w:t>
      </w:r>
      <w:r w:rsidR="0018520B">
        <w:t xml:space="preserve"> </w:t>
      </w:r>
      <w:r w:rsidRPr="00B26772">
        <w:t>(7)</w:t>
      </w:r>
      <w:r w:rsidR="0018520B">
        <w:t xml:space="preserve">: </w:t>
      </w:r>
      <w:r w:rsidRPr="00B26772">
        <w:t>847</w:t>
      </w:r>
      <w:r w:rsidR="00EC11C9" w:rsidRPr="00B26772">
        <w:t>–</w:t>
      </w:r>
      <w:r w:rsidRPr="00B26772">
        <w:t>858.</w:t>
      </w:r>
    </w:p>
    <w:p w14:paraId="12362F40" w14:textId="0039D0CB" w:rsidR="007C3348" w:rsidRPr="00B26772" w:rsidRDefault="007C3348" w:rsidP="007C3348">
      <w:pPr>
        <w:spacing w:line="480" w:lineRule="auto"/>
        <w:ind w:left="720" w:hanging="720"/>
        <w:contextualSpacing/>
        <w:jc w:val="left"/>
        <w:rPr>
          <w:rFonts w:eastAsia="Times New Roman"/>
        </w:rPr>
      </w:pPr>
      <w:r w:rsidRPr="00B26772">
        <w:t>Raithatha, Nick, Richard Holland, Simon Gerrard, and Ian Harvey</w:t>
      </w:r>
      <w:r w:rsidR="0018520B">
        <w:t xml:space="preserve">. </w:t>
      </w:r>
      <w:r w:rsidRPr="00B26772">
        <w:t>2003</w:t>
      </w:r>
      <w:r w:rsidR="0018520B">
        <w:t xml:space="preserve">. </w:t>
      </w:r>
      <w:r w:rsidRPr="00B26772">
        <w:t xml:space="preserve">A Qualitative Investigation of Vaccine Risk Perception </w:t>
      </w:r>
      <w:r w:rsidR="0018520B">
        <w:t>A</w:t>
      </w:r>
      <w:r w:rsidRPr="00B26772">
        <w:t xml:space="preserve">mongst Parents Who Immunize </w:t>
      </w:r>
      <w:r w:rsidR="0018520B">
        <w:t>T</w:t>
      </w:r>
      <w:r w:rsidRPr="00B26772">
        <w:t>heir Children: A Matter of Public Health Concern</w:t>
      </w:r>
      <w:r w:rsidR="0018520B">
        <w:t xml:space="preserve">. </w:t>
      </w:r>
      <w:r w:rsidRPr="00B26772">
        <w:rPr>
          <w:i/>
        </w:rPr>
        <w:t>Journal of Public Health</w:t>
      </w:r>
      <w:r w:rsidR="0018520B">
        <w:t>,</w:t>
      </w:r>
      <w:r w:rsidRPr="00B26772">
        <w:t xml:space="preserve"> 25</w:t>
      </w:r>
      <w:r w:rsidR="0018520B">
        <w:t xml:space="preserve"> </w:t>
      </w:r>
      <w:r w:rsidRPr="00B26772">
        <w:t>(2)</w:t>
      </w:r>
      <w:r w:rsidR="0018520B">
        <w:t xml:space="preserve">: </w:t>
      </w:r>
      <w:r w:rsidRPr="00B26772">
        <w:t>161</w:t>
      </w:r>
      <w:r w:rsidR="00EC11C9" w:rsidRPr="00B26772">
        <w:t>–</w:t>
      </w:r>
      <w:r w:rsidRPr="00B26772">
        <w:t>164.</w:t>
      </w:r>
    </w:p>
    <w:p w14:paraId="43BF6FA2" w14:textId="7F31C2EB" w:rsidR="007C3348" w:rsidRPr="00B26772" w:rsidRDefault="007C3348" w:rsidP="007C3348">
      <w:pPr>
        <w:spacing w:line="480" w:lineRule="auto"/>
        <w:ind w:left="720" w:hanging="720"/>
        <w:contextualSpacing/>
        <w:jc w:val="left"/>
      </w:pPr>
      <w:r w:rsidRPr="00B26772">
        <w:lastRenderedPageBreak/>
        <w:t>Rimer, Barbara K., Peter A. Briss, Paula K. Zeller, Evelyn C. Y. Chan, and Steven H. Woolf</w:t>
      </w:r>
      <w:r w:rsidR="0018520B">
        <w:t xml:space="preserve">. </w:t>
      </w:r>
      <w:r w:rsidRPr="00B26772">
        <w:t>2004</w:t>
      </w:r>
      <w:r w:rsidR="0018520B">
        <w:t xml:space="preserve">. </w:t>
      </w:r>
      <w:r w:rsidRPr="00B26772">
        <w:t xml:space="preserve">Informed Decision Making: What is its Role in Cancer Screening? </w:t>
      </w:r>
      <w:r w:rsidRPr="00B26772">
        <w:rPr>
          <w:i/>
          <w:iCs/>
        </w:rPr>
        <w:t>Cancer</w:t>
      </w:r>
      <w:r w:rsidRPr="00B26772">
        <w:t xml:space="preserve">, </w:t>
      </w:r>
      <w:r w:rsidRPr="00B26772">
        <w:rPr>
          <w:iCs/>
        </w:rPr>
        <w:t>101</w:t>
      </w:r>
      <w:r w:rsidR="0018520B">
        <w:rPr>
          <w:iCs/>
        </w:rPr>
        <w:t xml:space="preserve"> </w:t>
      </w:r>
      <w:r w:rsidRPr="00B26772">
        <w:t>(S5)</w:t>
      </w:r>
      <w:r w:rsidR="0018520B">
        <w:t xml:space="preserve">: </w:t>
      </w:r>
      <w:r w:rsidRPr="00B26772">
        <w:t>1214</w:t>
      </w:r>
      <w:r w:rsidR="00EC11C9" w:rsidRPr="00B26772">
        <w:t>–</w:t>
      </w:r>
      <w:r w:rsidRPr="00B26772">
        <w:t>1228.</w:t>
      </w:r>
    </w:p>
    <w:p w14:paraId="222A7B56" w14:textId="30A518C1" w:rsidR="007C3348" w:rsidRPr="00B26772" w:rsidRDefault="007C3348" w:rsidP="007C3348">
      <w:pPr>
        <w:spacing w:line="480" w:lineRule="auto"/>
        <w:ind w:left="720" w:hanging="720"/>
        <w:contextualSpacing/>
        <w:jc w:val="left"/>
        <w:rPr>
          <w:shd w:val="clear" w:color="auto" w:fill="FFFFFF"/>
        </w:rPr>
      </w:pPr>
      <w:r w:rsidRPr="00B26772">
        <w:rPr>
          <w:shd w:val="clear" w:color="auto" w:fill="FFFFFF"/>
        </w:rPr>
        <w:t>Schwartz, Lisa M., Steven Woloshin, William C. Black, and H. Gilbert Welch</w:t>
      </w:r>
      <w:r w:rsidR="0018520B">
        <w:rPr>
          <w:shd w:val="clear" w:color="auto" w:fill="FFFFFF"/>
        </w:rPr>
        <w:t>. 1</w:t>
      </w:r>
      <w:r w:rsidRPr="00B26772">
        <w:rPr>
          <w:shd w:val="clear" w:color="auto" w:fill="FFFFFF"/>
        </w:rPr>
        <w:t>997</w:t>
      </w:r>
      <w:r w:rsidR="0018520B">
        <w:rPr>
          <w:shd w:val="clear" w:color="auto" w:fill="FFFFFF"/>
        </w:rPr>
        <w:t xml:space="preserve">. </w:t>
      </w:r>
      <w:r w:rsidRPr="00B26772">
        <w:rPr>
          <w:shd w:val="clear" w:color="auto" w:fill="FFFFFF"/>
        </w:rPr>
        <w:t>The Role of Numeracy in Understanding the Benefit of Screening Mammography</w:t>
      </w:r>
      <w:r w:rsidR="0018520B">
        <w:rPr>
          <w:shd w:val="clear" w:color="auto" w:fill="FFFFFF"/>
        </w:rPr>
        <w:t xml:space="preserve">. </w:t>
      </w:r>
      <w:r w:rsidRPr="00B26772">
        <w:rPr>
          <w:i/>
          <w:iCs/>
          <w:shd w:val="clear" w:color="auto" w:fill="FFFFFF"/>
        </w:rPr>
        <w:t>Annals of Internal Medicine,</w:t>
      </w:r>
      <w:r w:rsidRPr="00B26772">
        <w:rPr>
          <w:shd w:val="clear" w:color="auto" w:fill="FFFFFF"/>
        </w:rPr>
        <w:t> 127</w:t>
      </w:r>
      <w:r w:rsidR="0018520B">
        <w:rPr>
          <w:shd w:val="clear" w:color="auto" w:fill="FFFFFF"/>
        </w:rPr>
        <w:t xml:space="preserve"> </w:t>
      </w:r>
      <w:r w:rsidRPr="00B26772">
        <w:rPr>
          <w:shd w:val="clear" w:color="auto" w:fill="FFFFFF"/>
        </w:rPr>
        <w:t>(11)</w:t>
      </w:r>
      <w:r w:rsidR="0018520B">
        <w:rPr>
          <w:shd w:val="clear" w:color="auto" w:fill="FFFFFF"/>
        </w:rPr>
        <w:t>:</w:t>
      </w:r>
      <w:r w:rsidRPr="00B26772">
        <w:rPr>
          <w:shd w:val="clear" w:color="auto" w:fill="FFFFFF"/>
        </w:rPr>
        <w:t xml:space="preserve"> 966</w:t>
      </w:r>
      <w:r w:rsidR="00EC11C9" w:rsidRPr="00B26772">
        <w:t>–</w:t>
      </w:r>
      <w:r w:rsidRPr="00B26772">
        <w:rPr>
          <w:shd w:val="clear" w:color="auto" w:fill="FFFFFF"/>
        </w:rPr>
        <w:t>972.</w:t>
      </w:r>
    </w:p>
    <w:p w14:paraId="52CA51C8" w14:textId="2C410A36" w:rsidR="007C3348" w:rsidRPr="0018520B" w:rsidRDefault="007C3348" w:rsidP="007C3348">
      <w:pPr>
        <w:spacing w:line="480" w:lineRule="auto"/>
        <w:ind w:left="720" w:hanging="720"/>
        <w:contextualSpacing/>
        <w:jc w:val="left"/>
        <w:rPr>
          <w:shd w:val="clear" w:color="auto" w:fill="FFFFFF"/>
        </w:rPr>
      </w:pPr>
      <w:r w:rsidRPr="00B26772">
        <w:rPr>
          <w:shd w:val="clear" w:color="auto" w:fill="FFFFFF"/>
        </w:rPr>
        <w:t>Stone, Eric R., Winston R. Sieck, Benita E. Bull, J. Frank Yates, Stephanie C. Parks, and Carolyn J. Rush</w:t>
      </w:r>
      <w:r w:rsidR="0018520B">
        <w:rPr>
          <w:shd w:val="clear" w:color="auto" w:fill="FFFFFF"/>
        </w:rPr>
        <w:t xml:space="preserve">. </w:t>
      </w:r>
      <w:r w:rsidRPr="00B26772">
        <w:rPr>
          <w:shd w:val="clear" w:color="auto" w:fill="FFFFFF"/>
        </w:rPr>
        <w:t>2003</w:t>
      </w:r>
      <w:r w:rsidR="0018520B">
        <w:rPr>
          <w:shd w:val="clear" w:color="auto" w:fill="FFFFFF"/>
        </w:rPr>
        <w:t xml:space="preserve">. </w:t>
      </w:r>
      <w:r w:rsidRPr="00B26772">
        <w:rPr>
          <w:shd w:val="clear" w:color="auto" w:fill="FFFFFF"/>
        </w:rPr>
        <w:t xml:space="preserve">Foreground: Background Salience: Explaining the Effects of </w:t>
      </w:r>
      <w:r w:rsidRPr="0018520B">
        <w:rPr>
          <w:shd w:val="clear" w:color="auto" w:fill="FFFFFF"/>
        </w:rPr>
        <w:t>Graphical Displays on Risk Avoidance</w:t>
      </w:r>
      <w:r w:rsidR="0018520B" w:rsidRPr="0018520B">
        <w:rPr>
          <w:shd w:val="clear" w:color="auto" w:fill="FFFFFF"/>
        </w:rPr>
        <w:t xml:space="preserve">. </w:t>
      </w:r>
      <w:r w:rsidRPr="0018520B">
        <w:rPr>
          <w:i/>
          <w:iCs/>
          <w:shd w:val="clear" w:color="auto" w:fill="FFFFFF"/>
        </w:rPr>
        <w:t>Organizational Behavior and Human Decision Processes</w:t>
      </w:r>
      <w:r w:rsidR="0018520B" w:rsidRPr="0018520B">
        <w:rPr>
          <w:i/>
          <w:iCs/>
          <w:shd w:val="clear" w:color="auto" w:fill="FFFFFF"/>
        </w:rPr>
        <w:t>,</w:t>
      </w:r>
      <w:r w:rsidRPr="0018520B">
        <w:rPr>
          <w:shd w:val="clear" w:color="auto" w:fill="FFFFFF"/>
        </w:rPr>
        <w:t> 90</w:t>
      </w:r>
      <w:r w:rsidR="0018520B" w:rsidRPr="0018520B">
        <w:rPr>
          <w:shd w:val="clear" w:color="auto" w:fill="FFFFFF"/>
        </w:rPr>
        <w:t xml:space="preserve"> </w:t>
      </w:r>
      <w:r w:rsidRPr="0018520B">
        <w:rPr>
          <w:shd w:val="clear" w:color="auto" w:fill="FFFFFF"/>
        </w:rPr>
        <w:t>(1)</w:t>
      </w:r>
      <w:r w:rsidR="0018520B" w:rsidRPr="0018520B">
        <w:rPr>
          <w:shd w:val="clear" w:color="auto" w:fill="FFFFFF"/>
        </w:rPr>
        <w:t>:</w:t>
      </w:r>
      <w:r w:rsidRPr="0018520B">
        <w:rPr>
          <w:shd w:val="clear" w:color="auto" w:fill="FFFFFF"/>
        </w:rPr>
        <w:t xml:space="preserve"> 19</w:t>
      </w:r>
      <w:r w:rsidR="00EC11C9" w:rsidRPr="00B26772">
        <w:t>–</w:t>
      </w:r>
      <w:r w:rsidRPr="0018520B">
        <w:rPr>
          <w:shd w:val="clear" w:color="auto" w:fill="FFFFFF"/>
        </w:rPr>
        <w:t>36.</w:t>
      </w:r>
    </w:p>
    <w:p w14:paraId="36B040B2" w14:textId="1EB24021" w:rsidR="007C3348" w:rsidRPr="0018520B" w:rsidRDefault="007C3348" w:rsidP="007C3348">
      <w:pPr>
        <w:spacing w:line="480" w:lineRule="auto"/>
        <w:ind w:left="720" w:hanging="720"/>
        <w:contextualSpacing/>
        <w:jc w:val="left"/>
        <w:rPr>
          <w:rFonts w:eastAsia="Times New Roman"/>
        </w:rPr>
      </w:pPr>
      <w:r w:rsidRPr="0018520B">
        <w:rPr>
          <w:rFonts w:eastAsia="Times New Roman"/>
        </w:rPr>
        <w:t>Slovic, Paul</w:t>
      </w:r>
      <w:r w:rsidR="0018520B" w:rsidRPr="0018520B">
        <w:rPr>
          <w:rFonts w:eastAsia="Times New Roman"/>
        </w:rPr>
        <w:t xml:space="preserve">. </w:t>
      </w:r>
      <w:r w:rsidRPr="0018520B">
        <w:rPr>
          <w:rFonts w:eastAsia="Times New Roman"/>
        </w:rPr>
        <w:t>1987</w:t>
      </w:r>
      <w:r w:rsidR="0018520B" w:rsidRPr="0018520B">
        <w:rPr>
          <w:rFonts w:eastAsia="Times New Roman"/>
        </w:rPr>
        <w:t xml:space="preserve">. </w:t>
      </w:r>
      <w:r w:rsidRPr="0018520B">
        <w:rPr>
          <w:rFonts w:eastAsia="Times New Roman"/>
        </w:rPr>
        <w:t>Perception of Risk</w:t>
      </w:r>
      <w:r w:rsidR="0018520B" w:rsidRPr="0018520B">
        <w:rPr>
          <w:rFonts w:eastAsia="Times New Roman"/>
        </w:rPr>
        <w:t xml:space="preserve">. </w:t>
      </w:r>
      <w:r w:rsidRPr="0018520B">
        <w:rPr>
          <w:rFonts w:eastAsia="Times New Roman"/>
          <w:i/>
          <w:iCs/>
        </w:rPr>
        <w:t>Science,</w:t>
      </w:r>
      <w:r w:rsidRPr="0018520B">
        <w:rPr>
          <w:rFonts w:eastAsia="Times New Roman"/>
        </w:rPr>
        <w:t xml:space="preserve"> 236</w:t>
      </w:r>
      <w:r w:rsidR="0018520B" w:rsidRPr="0018520B">
        <w:rPr>
          <w:rFonts w:eastAsia="Times New Roman"/>
        </w:rPr>
        <w:t xml:space="preserve"> </w:t>
      </w:r>
      <w:r w:rsidRPr="0018520B">
        <w:rPr>
          <w:rFonts w:eastAsia="Times New Roman"/>
        </w:rPr>
        <w:t>(17)</w:t>
      </w:r>
      <w:r w:rsidR="0018520B" w:rsidRPr="0018520B">
        <w:rPr>
          <w:rFonts w:eastAsia="Times New Roman"/>
        </w:rPr>
        <w:t xml:space="preserve">: </w:t>
      </w:r>
      <w:r w:rsidRPr="0018520B">
        <w:rPr>
          <w:rFonts w:eastAsia="Times New Roman"/>
        </w:rPr>
        <w:t>280–85.</w:t>
      </w:r>
    </w:p>
    <w:p w14:paraId="22AEBABE" w14:textId="20CB0347" w:rsidR="007C3348" w:rsidRPr="0018520B" w:rsidRDefault="007C3348" w:rsidP="007C3348">
      <w:pPr>
        <w:spacing w:line="480" w:lineRule="auto"/>
        <w:ind w:left="720" w:hanging="720"/>
        <w:contextualSpacing/>
        <w:jc w:val="left"/>
        <w:rPr>
          <w:shd w:val="clear" w:color="auto" w:fill="FFFFFF"/>
        </w:rPr>
      </w:pPr>
      <w:r w:rsidRPr="0018520B">
        <w:rPr>
          <w:rFonts w:eastAsia="Times New Roman"/>
          <w:strike/>
        </w:rPr>
        <w:t>------------</w:t>
      </w:r>
      <w:r w:rsidRPr="0018520B">
        <w:rPr>
          <w:rFonts w:eastAsia="Times New Roman"/>
        </w:rPr>
        <w:t xml:space="preserve">, </w:t>
      </w:r>
      <w:r w:rsidRPr="0018520B">
        <w:rPr>
          <w:shd w:val="clear" w:color="auto" w:fill="FFFFFF"/>
        </w:rPr>
        <w:t>and Ellen Peters</w:t>
      </w:r>
      <w:r w:rsidR="0018520B" w:rsidRPr="0018520B">
        <w:rPr>
          <w:shd w:val="clear" w:color="auto" w:fill="FFFFFF"/>
        </w:rPr>
        <w:t xml:space="preserve">. </w:t>
      </w:r>
      <w:r w:rsidRPr="0018520B">
        <w:rPr>
          <w:shd w:val="clear" w:color="auto" w:fill="FFFFFF"/>
        </w:rPr>
        <w:t>2006</w:t>
      </w:r>
      <w:r w:rsidR="0018520B" w:rsidRPr="0018520B">
        <w:rPr>
          <w:shd w:val="clear" w:color="auto" w:fill="FFFFFF"/>
        </w:rPr>
        <w:t xml:space="preserve">. </w:t>
      </w:r>
      <w:r w:rsidRPr="0018520B">
        <w:rPr>
          <w:shd w:val="clear" w:color="auto" w:fill="FFFFFF"/>
        </w:rPr>
        <w:t>Risk perception and Affect</w:t>
      </w:r>
      <w:r w:rsidR="0018520B" w:rsidRPr="0018520B">
        <w:rPr>
          <w:shd w:val="clear" w:color="auto" w:fill="FFFFFF"/>
        </w:rPr>
        <w:t xml:space="preserve">. </w:t>
      </w:r>
      <w:r w:rsidRPr="0018520B">
        <w:rPr>
          <w:i/>
          <w:iCs/>
          <w:shd w:val="clear" w:color="auto" w:fill="FFFFFF"/>
        </w:rPr>
        <w:t>Current Directions in Psychological Science</w:t>
      </w:r>
      <w:r w:rsidR="0018520B" w:rsidRPr="0018520B">
        <w:rPr>
          <w:i/>
          <w:iCs/>
          <w:shd w:val="clear" w:color="auto" w:fill="FFFFFF"/>
        </w:rPr>
        <w:t>,</w:t>
      </w:r>
      <w:r w:rsidRPr="0018520B">
        <w:rPr>
          <w:shd w:val="clear" w:color="auto" w:fill="FFFFFF"/>
        </w:rPr>
        <w:t> 15</w:t>
      </w:r>
      <w:r w:rsidR="0018520B" w:rsidRPr="0018520B">
        <w:rPr>
          <w:shd w:val="clear" w:color="auto" w:fill="FFFFFF"/>
        </w:rPr>
        <w:t xml:space="preserve"> </w:t>
      </w:r>
      <w:r w:rsidRPr="0018520B">
        <w:rPr>
          <w:shd w:val="clear" w:color="auto" w:fill="FFFFFF"/>
        </w:rPr>
        <w:t>(6)</w:t>
      </w:r>
      <w:r w:rsidR="0018520B" w:rsidRPr="0018520B">
        <w:rPr>
          <w:shd w:val="clear" w:color="auto" w:fill="FFFFFF"/>
        </w:rPr>
        <w:t>:</w:t>
      </w:r>
      <w:r w:rsidRPr="0018520B">
        <w:rPr>
          <w:shd w:val="clear" w:color="auto" w:fill="FFFFFF"/>
        </w:rPr>
        <w:t xml:space="preserve"> 322</w:t>
      </w:r>
      <w:r w:rsidR="00EC11C9" w:rsidRPr="00B26772">
        <w:t>–</w:t>
      </w:r>
      <w:r w:rsidRPr="0018520B">
        <w:rPr>
          <w:shd w:val="clear" w:color="auto" w:fill="FFFFFF"/>
        </w:rPr>
        <w:t>325.</w:t>
      </w:r>
    </w:p>
    <w:p w14:paraId="243EC8D7" w14:textId="020C1D51" w:rsidR="007C3348" w:rsidRPr="00B26772" w:rsidRDefault="007C3348" w:rsidP="007C3348">
      <w:pPr>
        <w:spacing w:line="480" w:lineRule="auto"/>
        <w:ind w:left="720" w:hanging="720"/>
        <w:contextualSpacing/>
        <w:jc w:val="left"/>
        <w:rPr>
          <w:rFonts w:eastAsia="Times New Roman"/>
        </w:rPr>
      </w:pPr>
      <w:r w:rsidRPr="0018520B">
        <w:rPr>
          <w:rFonts w:eastAsia="Times New Roman"/>
          <w:strike/>
        </w:rPr>
        <w:t>------------</w:t>
      </w:r>
      <w:r w:rsidRPr="0018520B">
        <w:rPr>
          <w:rFonts w:eastAsia="Times New Roman"/>
        </w:rPr>
        <w:t>, Melissa L. Finucane, Ellen Peters, and Donald G. MacGregor</w:t>
      </w:r>
      <w:r w:rsidR="00B24CD9">
        <w:rPr>
          <w:rFonts w:eastAsia="Times New Roman"/>
        </w:rPr>
        <w:t xml:space="preserve">. </w:t>
      </w:r>
      <w:r w:rsidRPr="0018520B">
        <w:rPr>
          <w:rFonts w:eastAsia="Times New Roman"/>
        </w:rPr>
        <w:t>2004</w:t>
      </w:r>
      <w:r w:rsidR="00B24CD9">
        <w:rPr>
          <w:rFonts w:eastAsia="Times New Roman"/>
        </w:rPr>
        <w:t xml:space="preserve">. </w:t>
      </w:r>
      <w:r w:rsidRPr="0018520B">
        <w:rPr>
          <w:rFonts w:eastAsia="Times New Roman"/>
        </w:rPr>
        <w:t xml:space="preserve">Risk as Analysis and Risk as Feelings: Some </w:t>
      </w:r>
      <w:r w:rsidRPr="00B26772">
        <w:rPr>
          <w:rFonts w:eastAsia="Times New Roman"/>
        </w:rPr>
        <w:t xml:space="preserve">Thoughts </w:t>
      </w:r>
      <w:r w:rsidR="00B24CD9">
        <w:rPr>
          <w:rFonts w:eastAsia="Times New Roman"/>
        </w:rPr>
        <w:t>A</w:t>
      </w:r>
      <w:r w:rsidRPr="00B26772">
        <w:rPr>
          <w:rFonts w:eastAsia="Times New Roman"/>
        </w:rPr>
        <w:t>bout Affect, Reason, Risk, and Rationality</w:t>
      </w:r>
      <w:r w:rsidR="00B24CD9">
        <w:rPr>
          <w:rFonts w:eastAsia="Times New Roman"/>
        </w:rPr>
        <w:t xml:space="preserve">. </w:t>
      </w:r>
      <w:r w:rsidRPr="00B26772">
        <w:rPr>
          <w:rFonts w:eastAsia="Times New Roman"/>
          <w:i/>
          <w:iCs/>
        </w:rPr>
        <w:t>Risk Analysis,</w:t>
      </w:r>
      <w:r w:rsidRPr="00B26772">
        <w:rPr>
          <w:rFonts w:eastAsia="Times New Roman"/>
        </w:rPr>
        <w:t xml:space="preserve"> 24</w:t>
      </w:r>
      <w:r w:rsidR="00B24CD9">
        <w:rPr>
          <w:rFonts w:eastAsia="Times New Roman"/>
        </w:rPr>
        <w:t xml:space="preserve"> </w:t>
      </w:r>
      <w:r w:rsidRPr="00B26772">
        <w:rPr>
          <w:rFonts w:eastAsia="Times New Roman"/>
        </w:rPr>
        <w:t>(2)</w:t>
      </w:r>
      <w:r w:rsidR="00B24CD9">
        <w:rPr>
          <w:rFonts w:eastAsia="Times New Roman"/>
        </w:rPr>
        <w:t xml:space="preserve">: </w:t>
      </w:r>
      <w:r w:rsidRPr="00B26772">
        <w:rPr>
          <w:rFonts w:eastAsia="Times New Roman"/>
        </w:rPr>
        <w:t xml:space="preserve">311–22. </w:t>
      </w:r>
    </w:p>
    <w:p w14:paraId="17ABB454" w14:textId="05ACD3CB" w:rsidR="007C3348" w:rsidRPr="00707AD1" w:rsidRDefault="007C3348" w:rsidP="007C3348">
      <w:pPr>
        <w:spacing w:line="480" w:lineRule="auto"/>
        <w:ind w:left="720" w:hanging="720"/>
        <w:contextualSpacing/>
        <w:jc w:val="left"/>
        <w:rPr>
          <w:rFonts w:eastAsia="Times New Roman"/>
        </w:rPr>
      </w:pPr>
      <w:r w:rsidRPr="00B26772">
        <w:rPr>
          <w:rFonts w:eastAsia="Times New Roman"/>
        </w:rPr>
        <w:t>Waters, Erika A., Neal D. Weinstein, Graham A. Colditz, and Karen Emmons</w:t>
      </w:r>
      <w:r w:rsidR="00B24CD9">
        <w:rPr>
          <w:rFonts w:eastAsia="Times New Roman"/>
        </w:rPr>
        <w:t xml:space="preserve">. </w:t>
      </w:r>
      <w:r w:rsidRPr="00B26772">
        <w:rPr>
          <w:rFonts w:eastAsia="Times New Roman"/>
        </w:rPr>
        <w:t>2006</w:t>
      </w:r>
      <w:r w:rsidR="00B24CD9">
        <w:rPr>
          <w:rFonts w:eastAsia="Times New Roman"/>
        </w:rPr>
        <w:t xml:space="preserve">. </w:t>
      </w:r>
      <w:r w:rsidRPr="00B26772">
        <w:rPr>
          <w:rFonts w:eastAsia="Times New Roman"/>
        </w:rPr>
        <w:t>Formats for Improving Risk Communication in Medical Tradeoff Decisions</w:t>
      </w:r>
      <w:r w:rsidR="00B24CD9">
        <w:rPr>
          <w:rFonts w:eastAsia="Times New Roman"/>
        </w:rPr>
        <w:t xml:space="preserve">. </w:t>
      </w:r>
      <w:r w:rsidRPr="00B26772">
        <w:rPr>
          <w:rFonts w:eastAsia="Times New Roman"/>
          <w:i/>
          <w:iCs/>
        </w:rPr>
        <w:t>Journal of Health Communication</w:t>
      </w:r>
      <w:r w:rsidRPr="00B26772">
        <w:rPr>
          <w:rFonts w:eastAsia="Times New Roman"/>
        </w:rPr>
        <w:t xml:space="preserve">, </w:t>
      </w:r>
      <w:r w:rsidRPr="00B26772">
        <w:rPr>
          <w:rFonts w:eastAsia="Times New Roman"/>
          <w:iCs/>
        </w:rPr>
        <w:t>11</w:t>
      </w:r>
      <w:r w:rsidR="00B24CD9">
        <w:rPr>
          <w:rFonts w:eastAsia="Times New Roman"/>
          <w:iCs/>
        </w:rPr>
        <w:t xml:space="preserve"> </w:t>
      </w:r>
      <w:r w:rsidRPr="00B26772">
        <w:rPr>
          <w:rFonts w:eastAsia="Times New Roman"/>
        </w:rPr>
        <w:t>(2)</w:t>
      </w:r>
      <w:r w:rsidR="00B24CD9">
        <w:rPr>
          <w:rFonts w:eastAsia="Times New Roman"/>
        </w:rPr>
        <w:t xml:space="preserve">: </w:t>
      </w:r>
      <w:r w:rsidRPr="00B26772">
        <w:rPr>
          <w:rFonts w:eastAsia="Times New Roman"/>
        </w:rPr>
        <w:t>167</w:t>
      </w:r>
      <w:r w:rsidR="00A56485" w:rsidRPr="00B26772">
        <w:t>–</w:t>
      </w:r>
      <w:r w:rsidRPr="00B26772">
        <w:rPr>
          <w:rFonts w:eastAsia="Times New Roman"/>
        </w:rPr>
        <w:t>182.</w:t>
      </w:r>
    </w:p>
    <w:p w14:paraId="6D54E202" w14:textId="77777777" w:rsidR="007C3348" w:rsidRPr="00B26772" w:rsidRDefault="007C3348" w:rsidP="007C3348">
      <w:pPr>
        <w:spacing w:line="480" w:lineRule="auto"/>
        <w:contextualSpacing/>
        <w:jc w:val="left"/>
        <w:rPr>
          <w:rFonts w:eastAsia="Times New Roman"/>
          <w:color w:val="000000"/>
        </w:rPr>
      </w:pPr>
    </w:p>
    <w:p w14:paraId="608BA2D7" w14:textId="5A4236BC" w:rsidR="00B2402E" w:rsidRPr="0048235A" w:rsidRDefault="00D764A6" w:rsidP="00FC792F">
      <w:pPr>
        <w:pageBreakBefore/>
        <w:contextualSpacing/>
        <w:jc w:val="left"/>
      </w:pPr>
      <w:r w:rsidRPr="00B26772">
        <w:lastRenderedPageBreak/>
        <w:t>TABLE 1</w:t>
      </w:r>
    </w:p>
    <w:tbl>
      <w:tblPr>
        <w:tblW w:w="7656" w:type="dxa"/>
        <w:tblInd w:w="108" w:type="dxa"/>
        <w:tblLayout w:type="fixed"/>
        <w:tblLook w:val="04A0" w:firstRow="1" w:lastRow="0" w:firstColumn="1" w:lastColumn="0" w:noHBand="0" w:noVBand="1"/>
      </w:tblPr>
      <w:tblGrid>
        <w:gridCol w:w="1620"/>
        <w:gridCol w:w="960"/>
        <w:gridCol w:w="480"/>
        <w:gridCol w:w="1350"/>
        <w:gridCol w:w="900"/>
        <w:gridCol w:w="910"/>
        <w:gridCol w:w="440"/>
        <w:gridCol w:w="760"/>
        <w:gridCol w:w="236"/>
      </w:tblGrid>
      <w:tr w:rsidR="0048235A" w:rsidRPr="00F120A8" w14:paraId="27C42183" w14:textId="77777777" w:rsidTr="00F3793E">
        <w:trPr>
          <w:trHeight w:val="351"/>
        </w:trPr>
        <w:tc>
          <w:tcPr>
            <w:tcW w:w="7656" w:type="dxa"/>
            <w:gridSpan w:val="9"/>
            <w:tcBorders>
              <w:left w:val="nil"/>
              <w:bottom w:val="single" w:sz="8" w:space="0" w:color="auto"/>
              <w:right w:val="nil"/>
            </w:tcBorders>
            <w:shd w:val="clear" w:color="auto" w:fill="auto"/>
            <w:noWrap/>
            <w:vAlign w:val="bottom"/>
          </w:tcPr>
          <w:p w14:paraId="5233C973" w14:textId="3E72E416" w:rsidR="0048235A" w:rsidRPr="00F120A8" w:rsidRDefault="0048235A" w:rsidP="00FC792F">
            <w:pPr>
              <w:ind w:left="-110"/>
              <w:contextualSpacing/>
              <w:jc w:val="left"/>
              <w:rPr>
                <w:rFonts w:eastAsia="Times New Roman"/>
                <w:bCs/>
                <w:i/>
                <w:iCs/>
                <w:color w:val="000000"/>
              </w:rPr>
            </w:pPr>
            <w:r w:rsidRPr="00B24CD9">
              <w:rPr>
                <w:i/>
              </w:rPr>
              <w:t>Summary of</w:t>
            </w:r>
            <w:r w:rsidR="00343963">
              <w:rPr>
                <w:i/>
              </w:rPr>
              <w:t xml:space="preserve"> CDC </w:t>
            </w:r>
            <w:r w:rsidRPr="00B24CD9">
              <w:rPr>
                <w:i/>
              </w:rPr>
              <w:t>VIS Review of Side-Effect Probabilities</w:t>
            </w:r>
            <w:r w:rsidR="00343963">
              <w:rPr>
                <w:i/>
              </w:rPr>
              <w:t xml:space="preserve"> and Format</w:t>
            </w:r>
            <w:r w:rsidR="005775A4">
              <w:rPr>
                <w:i/>
              </w:rPr>
              <w:t>s</w:t>
            </w:r>
          </w:p>
        </w:tc>
      </w:tr>
      <w:tr w:rsidR="00F120A8" w:rsidRPr="00F120A8" w14:paraId="5D6A12EA" w14:textId="77777777" w:rsidTr="00F3793E">
        <w:trPr>
          <w:trHeight w:val="844"/>
        </w:trPr>
        <w:tc>
          <w:tcPr>
            <w:tcW w:w="1620" w:type="dxa"/>
            <w:tcBorders>
              <w:top w:val="single" w:sz="8" w:space="0" w:color="auto"/>
              <w:left w:val="nil"/>
              <w:bottom w:val="nil"/>
              <w:right w:val="nil"/>
            </w:tcBorders>
            <w:shd w:val="clear" w:color="auto" w:fill="auto"/>
            <w:noWrap/>
            <w:vAlign w:val="bottom"/>
            <w:hideMark/>
          </w:tcPr>
          <w:p w14:paraId="1EA2FA9F" w14:textId="77777777" w:rsidR="00F120A8" w:rsidRPr="00F120A8" w:rsidRDefault="00F120A8" w:rsidP="0048235A">
            <w:pPr>
              <w:rPr>
                <w:rFonts w:eastAsia="Times New Roman"/>
                <w:color w:val="000000"/>
              </w:rPr>
            </w:pPr>
            <w:r w:rsidRPr="00F120A8">
              <w:rPr>
                <w:rFonts w:eastAsia="Times New Roman"/>
                <w:bCs/>
                <w:color w:val="000000"/>
              </w:rPr>
              <w:t>Vaccine</w:t>
            </w:r>
          </w:p>
        </w:tc>
        <w:tc>
          <w:tcPr>
            <w:tcW w:w="1440" w:type="dxa"/>
            <w:gridSpan w:val="2"/>
            <w:tcBorders>
              <w:top w:val="single" w:sz="8" w:space="0" w:color="auto"/>
              <w:left w:val="nil"/>
              <w:bottom w:val="nil"/>
              <w:right w:val="nil"/>
            </w:tcBorders>
            <w:shd w:val="clear" w:color="auto" w:fill="auto"/>
            <w:vAlign w:val="bottom"/>
            <w:hideMark/>
          </w:tcPr>
          <w:p w14:paraId="6D7566F2" w14:textId="77777777" w:rsidR="00F120A8" w:rsidRPr="00F120A8" w:rsidRDefault="00F120A8" w:rsidP="00F120A8">
            <w:pPr>
              <w:jc w:val="center"/>
              <w:rPr>
                <w:rFonts w:eastAsia="Times New Roman"/>
                <w:color w:val="000000"/>
              </w:rPr>
            </w:pPr>
            <w:r w:rsidRPr="00F120A8">
              <w:rPr>
                <w:rFonts w:eastAsia="Times New Roman"/>
                <w:bCs/>
                <w:color w:val="000000"/>
              </w:rPr>
              <w:t>Num. of Side-Effects</w:t>
            </w:r>
          </w:p>
        </w:tc>
        <w:tc>
          <w:tcPr>
            <w:tcW w:w="2250" w:type="dxa"/>
            <w:gridSpan w:val="2"/>
            <w:tcBorders>
              <w:top w:val="single" w:sz="8" w:space="0" w:color="auto"/>
              <w:left w:val="nil"/>
              <w:bottom w:val="nil"/>
              <w:right w:val="nil"/>
            </w:tcBorders>
            <w:shd w:val="clear" w:color="auto" w:fill="auto"/>
            <w:vAlign w:val="bottom"/>
            <w:hideMark/>
          </w:tcPr>
          <w:p w14:paraId="4BFB532A" w14:textId="1EE07104" w:rsidR="00F120A8" w:rsidRPr="00F120A8" w:rsidRDefault="00F120A8" w:rsidP="00F120A8">
            <w:pPr>
              <w:jc w:val="center"/>
              <w:rPr>
                <w:rFonts w:eastAsia="Times New Roman"/>
                <w:color w:val="000000"/>
              </w:rPr>
            </w:pPr>
            <w:r w:rsidRPr="00F120A8">
              <w:rPr>
                <w:rFonts w:eastAsia="Times New Roman"/>
                <w:bCs/>
                <w:color w:val="000000"/>
              </w:rPr>
              <w:t xml:space="preserve">Num. of Side-Effect Prob. </w:t>
            </w:r>
            <w:r w:rsidR="0048235A">
              <w:rPr>
                <w:rFonts w:eastAsia="Times New Roman"/>
                <w:bCs/>
                <w:color w:val="000000"/>
              </w:rPr>
              <w:t>in</w:t>
            </w:r>
            <w:r w:rsidRPr="00F120A8">
              <w:rPr>
                <w:rFonts w:eastAsia="Times New Roman"/>
                <w:bCs/>
                <w:color w:val="000000"/>
              </w:rPr>
              <w:t xml:space="preserve"> 1-in-X Format</w:t>
            </w:r>
          </w:p>
        </w:tc>
        <w:tc>
          <w:tcPr>
            <w:tcW w:w="1350" w:type="dxa"/>
            <w:gridSpan w:val="2"/>
            <w:tcBorders>
              <w:top w:val="single" w:sz="8" w:space="0" w:color="auto"/>
              <w:left w:val="nil"/>
              <w:bottom w:val="single" w:sz="4" w:space="0" w:color="auto"/>
              <w:right w:val="nil"/>
            </w:tcBorders>
            <w:shd w:val="clear" w:color="auto" w:fill="auto"/>
            <w:vAlign w:val="bottom"/>
            <w:hideMark/>
          </w:tcPr>
          <w:p w14:paraId="03B258D7" w14:textId="4C29C459" w:rsidR="00F120A8" w:rsidRPr="00F120A8" w:rsidRDefault="00F3793E" w:rsidP="00F120A8">
            <w:pPr>
              <w:jc w:val="center"/>
              <w:rPr>
                <w:rFonts w:eastAsia="Times New Roman"/>
                <w:color w:val="000000"/>
              </w:rPr>
            </w:pPr>
            <w:r>
              <w:rPr>
                <w:rFonts w:eastAsia="Times New Roman"/>
                <w:bCs/>
                <w:color w:val="000000"/>
              </w:rPr>
              <w:t>Mean</w:t>
            </w:r>
            <w:r w:rsidR="00F120A8" w:rsidRPr="00F120A8">
              <w:rPr>
                <w:rFonts w:eastAsia="Times New Roman"/>
                <w:bCs/>
                <w:color w:val="000000"/>
              </w:rPr>
              <w:t xml:space="preserve"> Side-Effect Prob. (%)</w:t>
            </w:r>
          </w:p>
        </w:tc>
        <w:tc>
          <w:tcPr>
            <w:tcW w:w="996" w:type="dxa"/>
            <w:gridSpan w:val="2"/>
            <w:tcBorders>
              <w:top w:val="single" w:sz="8" w:space="0" w:color="auto"/>
              <w:left w:val="nil"/>
              <w:bottom w:val="single" w:sz="4" w:space="0" w:color="auto"/>
              <w:right w:val="nil"/>
            </w:tcBorders>
            <w:shd w:val="clear" w:color="auto" w:fill="auto"/>
            <w:vAlign w:val="bottom"/>
            <w:hideMark/>
          </w:tcPr>
          <w:p w14:paraId="6C06D6C4" w14:textId="77777777" w:rsidR="00F120A8" w:rsidRPr="00F120A8" w:rsidRDefault="00F120A8" w:rsidP="00F120A8">
            <w:pPr>
              <w:jc w:val="center"/>
              <w:rPr>
                <w:rFonts w:eastAsia="Times New Roman"/>
                <w:i/>
                <w:iCs/>
                <w:color w:val="000000"/>
              </w:rPr>
            </w:pPr>
            <w:r w:rsidRPr="00F120A8">
              <w:rPr>
                <w:rFonts w:eastAsia="Times New Roman"/>
                <w:bCs/>
                <w:i/>
                <w:iCs/>
                <w:color w:val="000000"/>
              </w:rPr>
              <w:t xml:space="preserve">SD </w:t>
            </w:r>
            <w:r w:rsidRPr="00F120A8">
              <w:rPr>
                <w:rFonts w:eastAsia="Times New Roman"/>
                <w:color w:val="000000"/>
              </w:rPr>
              <w:t>(%)</w:t>
            </w:r>
          </w:p>
        </w:tc>
      </w:tr>
      <w:tr w:rsidR="00F120A8" w:rsidRPr="00F120A8" w14:paraId="689A321C" w14:textId="77777777" w:rsidTr="00F3793E">
        <w:trPr>
          <w:trHeight w:val="310"/>
        </w:trPr>
        <w:tc>
          <w:tcPr>
            <w:tcW w:w="1620" w:type="dxa"/>
            <w:tcBorders>
              <w:top w:val="single" w:sz="4" w:space="0" w:color="auto"/>
              <w:left w:val="nil"/>
              <w:bottom w:val="nil"/>
              <w:right w:val="nil"/>
            </w:tcBorders>
            <w:shd w:val="clear" w:color="auto" w:fill="auto"/>
            <w:noWrap/>
            <w:vAlign w:val="center"/>
            <w:hideMark/>
          </w:tcPr>
          <w:p w14:paraId="496482A2" w14:textId="77777777" w:rsidR="00F120A8" w:rsidRPr="00F120A8" w:rsidRDefault="00F120A8" w:rsidP="00F120A8">
            <w:pPr>
              <w:jc w:val="left"/>
              <w:rPr>
                <w:rFonts w:eastAsia="Times New Roman"/>
                <w:color w:val="000000"/>
              </w:rPr>
            </w:pPr>
            <w:r w:rsidRPr="00F120A8">
              <w:rPr>
                <w:rFonts w:eastAsia="Times New Roman"/>
                <w:color w:val="000000"/>
              </w:rPr>
              <w:t>DTap</w:t>
            </w:r>
          </w:p>
        </w:tc>
        <w:tc>
          <w:tcPr>
            <w:tcW w:w="960" w:type="dxa"/>
            <w:tcBorders>
              <w:top w:val="single" w:sz="4" w:space="0" w:color="auto"/>
              <w:left w:val="nil"/>
              <w:bottom w:val="nil"/>
              <w:right w:val="nil"/>
            </w:tcBorders>
            <w:shd w:val="clear" w:color="auto" w:fill="auto"/>
            <w:noWrap/>
            <w:vAlign w:val="center"/>
            <w:hideMark/>
          </w:tcPr>
          <w:p w14:paraId="2FF462B6" w14:textId="4D98EEA4" w:rsidR="00F120A8" w:rsidRPr="00F120A8" w:rsidRDefault="00F120A8" w:rsidP="00F120A8">
            <w:pPr>
              <w:jc w:val="right"/>
              <w:rPr>
                <w:rFonts w:eastAsia="Times New Roman"/>
                <w:color w:val="000000"/>
              </w:rPr>
            </w:pPr>
            <w:r w:rsidRPr="00F120A8">
              <w:rPr>
                <w:rFonts w:eastAsia="Times New Roman"/>
                <w:color w:val="000000"/>
              </w:rPr>
              <w:t>9</w:t>
            </w:r>
          </w:p>
        </w:tc>
        <w:tc>
          <w:tcPr>
            <w:tcW w:w="480" w:type="dxa"/>
            <w:tcBorders>
              <w:top w:val="single" w:sz="4" w:space="0" w:color="auto"/>
              <w:left w:val="nil"/>
              <w:bottom w:val="nil"/>
              <w:right w:val="nil"/>
            </w:tcBorders>
            <w:shd w:val="clear" w:color="auto" w:fill="auto"/>
            <w:noWrap/>
            <w:vAlign w:val="center"/>
            <w:hideMark/>
          </w:tcPr>
          <w:p w14:paraId="4D7B9C22" w14:textId="77777777" w:rsidR="00F120A8" w:rsidRPr="00F120A8" w:rsidRDefault="00F120A8" w:rsidP="00F120A8">
            <w:pPr>
              <w:jc w:val="right"/>
              <w:rPr>
                <w:rFonts w:eastAsia="Times New Roman"/>
                <w:color w:val="000000"/>
              </w:rPr>
            </w:pPr>
            <w:r w:rsidRPr="00F120A8">
              <w:rPr>
                <w:rFonts w:eastAsia="Times New Roman"/>
                <w:color w:val="000000"/>
              </w:rPr>
              <w:t> </w:t>
            </w:r>
          </w:p>
        </w:tc>
        <w:tc>
          <w:tcPr>
            <w:tcW w:w="1350" w:type="dxa"/>
            <w:tcBorders>
              <w:top w:val="single" w:sz="4" w:space="0" w:color="auto"/>
              <w:left w:val="nil"/>
              <w:bottom w:val="nil"/>
              <w:right w:val="nil"/>
            </w:tcBorders>
            <w:shd w:val="clear" w:color="auto" w:fill="auto"/>
            <w:noWrap/>
            <w:vAlign w:val="center"/>
            <w:hideMark/>
          </w:tcPr>
          <w:p w14:paraId="1A21B126" w14:textId="43835ECA" w:rsidR="00F120A8" w:rsidRPr="00F120A8" w:rsidRDefault="00F120A8" w:rsidP="00F120A8">
            <w:pPr>
              <w:jc w:val="right"/>
              <w:rPr>
                <w:rFonts w:eastAsia="Times New Roman"/>
                <w:color w:val="000000"/>
              </w:rPr>
            </w:pPr>
            <w:r w:rsidRPr="00F120A8">
              <w:rPr>
                <w:rFonts w:eastAsia="Times New Roman"/>
                <w:color w:val="000000"/>
              </w:rPr>
              <w:t>8</w:t>
            </w:r>
          </w:p>
        </w:tc>
        <w:tc>
          <w:tcPr>
            <w:tcW w:w="900" w:type="dxa"/>
            <w:tcBorders>
              <w:top w:val="single" w:sz="4" w:space="0" w:color="auto"/>
              <w:left w:val="nil"/>
              <w:bottom w:val="nil"/>
              <w:right w:val="nil"/>
            </w:tcBorders>
            <w:shd w:val="clear" w:color="auto" w:fill="auto"/>
            <w:noWrap/>
            <w:vAlign w:val="center"/>
            <w:hideMark/>
          </w:tcPr>
          <w:p w14:paraId="1995CEC1" w14:textId="77777777" w:rsidR="00F120A8" w:rsidRPr="00F120A8" w:rsidRDefault="00F120A8" w:rsidP="00F120A8">
            <w:pPr>
              <w:jc w:val="center"/>
              <w:rPr>
                <w:rFonts w:eastAsia="Times New Roman"/>
                <w:color w:val="000000"/>
              </w:rPr>
            </w:pPr>
            <w:r w:rsidRPr="00F120A8">
              <w:rPr>
                <w:rFonts w:eastAsia="Times New Roman"/>
                <w:color w:val="000000"/>
              </w:rPr>
              <w:t> </w:t>
            </w:r>
          </w:p>
        </w:tc>
        <w:tc>
          <w:tcPr>
            <w:tcW w:w="910" w:type="dxa"/>
            <w:tcBorders>
              <w:top w:val="nil"/>
              <w:left w:val="nil"/>
              <w:bottom w:val="nil"/>
              <w:right w:val="nil"/>
            </w:tcBorders>
            <w:shd w:val="clear" w:color="auto" w:fill="auto"/>
            <w:noWrap/>
            <w:vAlign w:val="center"/>
            <w:hideMark/>
          </w:tcPr>
          <w:p w14:paraId="232994B0" w14:textId="6BE65D69" w:rsidR="00F120A8" w:rsidRPr="00F120A8" w:rsidRDefault="00F120A8" w:rsidP="00F120A8">
            <w:pPr>
              <w:jc w:val="right"/>
              <w:rPr>
                <w:rFonts w:eastAsia="Times New Roman"/>
                <w:color w:val="000000"/>
              </w:rPr>
            </w:pPr>
            <w:r w:rsidRPr="00F120A8">
              <w:rPr>
                <w:rFonts w:eastAsia="Times New Roman"/>
                <w:color w:val="000000"/>
              </w:rPr>
              <w:t>8.8</w:t>
            </w:r>
          </w:p>
        </w:tc>
        <w:tc>
          <w:tcPr>
            <w:tcW w:w="440" w:type="dxa"/>
            <w:tcBorders>
              <w:top w:val="nil"/>
              <w:left w:val="nil"/>
              <w:bottom w:val="nil"/>
              <w:right w:val="nil"/>
            </w:tcBorders>
            <w:shd w:val="clear" w:color="auto" w:fill="auto"/>
            <w:noWrap/>
            <w:vAlign w:val="center"/>
            <w:hideMark/>
          </w:tcPr>
          <w:p w14:paraId="0D39DDDC" w14:textId="77777777" w:rsidR="00F120A8" w:rsidRPr="00F120A8" w:rsidRDefault="00F120A8" w:rsidP="00F120A8">
            <w:pPr>
              <w:jc w:val="left"/>
              <w:rPr>
                <w:rFonts w:eastAsia="Times New Roman"/>
                <w:color w:val="000000"/>
              </w:rPr>
            </w:pPr>
            <w:r w:rsidRPr="00F120A8">
              <w:rPr>
                <w:rFonts w:eastAsia="Times New Roman"/>
                <w:color w:val="000000"/>
              </w:rPr>
              <w:t> </w:t>
            </w:r>
          </w:p>
        </w:tc>
        <w:tc>
          <w:tcPr>
            <w:tcW w:w="760" w:type="dxa"/>
            <w:tcBorders>
              <w:top w:val="nil"/>
              <w:left w:val="nil"/>
              <w:bottom w:val="nil"/>
              <w:right w:val="nil"/>
            </w:tcBorders>
            <w:shd w:val="clear" w:color="auto" w:fill="auto"/>
            <w:noWrap/>
            <w:vAlign w:val="center"/>
            <w:hideMark/>
          </w:tcPr>
          <w:p w14:paraId="00010410" w14:textId="77777777" w:rsidR="00F120A8" w:rsidRPr="00F120A8" w:rsidRDefault="00F120A8" w:rsidP="00F120A8">
            <w:pPr>
              <w:jc w:val="right"/>
              <w:rPr>
                <w:rFonts w:eastAsia="Times New Roman"/>
                <w:color w:val="000000"/>
              </w:rPr>
            </w:pPr>
            <w:r w:rsidRPr="00F120A8">
              <w:rPr>
                <w:rFonts w:eastAsia="Times New Roman"/>
                <w:color w:val="000000"/>
              </w:rPr>
              <w:t>12.4</w:t>
            </w:r>
          </w:p>
        </w:tc>
        <w:tc>
          <w:tcPr>
            <w:tcW w:w="236" w:type="dxa"/>
            <w:tcBorders>
              <w:top w:val="nil"/>
              <w:left w:val="nil"/>
              <w:bottom w:val="nil"/>
              <w:right w:val="nil"/>
            </w:tcBorders>
            <w:shd w:val="clear" w:color="auto" w:fill="auto"/>
            <w:noWrap/>
            <w:vAlign w:val="bottom"/>
            <w:hideMark/>
          </w:tcPr>
          <w:p w14:paraId="420583B3" w14:textId="77777777" w:rsidR="00F120A8" w:rsidRPr="00F120A8" w:rsidRDefault="00F120A8" w:rsidP="00F120A8">
            <w:pPr>
              <w:jc w:val="right"/>
              <w:rPr>
                <w:rFonts w:eastAsia="Times New Roman"/>
                <w:color w:val="000000"/>
              </w:rPr>
            </w:pPr>
          </w:p>
        </w:tc>
      </w:tr>
      <w:tr w:rsidR="00F120A8" w:rsidRPr="00F120A8" w14:paraId="1A81F0C7" w14:textId="77777777" w:rsidTr="00F3793E">
        <w:trPr>
          <w:trHeight w:val="310"/>
        </w:trPr>
        <w:tc>
          <w:tcPr>
            <w:tcW w:w="1620" w:type="dxa"/>
            <w:tcBorders>
              <w:top w:val="nil"/>
              <w:left w:val="nil"/>
              <w:bottom w:val="nil"/>
              <w:right w:val="nil"/>
            </w:tcBorders>
            <w:shd w:val="clear" w:color="auto" w:fill="auto"/>
            <w:noWrap/>
            <w:vAlign w:val="center"/>
            <w:hideMark/>
          </w:tcPr>
          <w:p w14:paraId="7E8139D4" w14:textId="77777777" w:rsidR="00F120A8" w:rsidRPr="00F120A8" w:rsidRDefault="00F120A8" w:rsidP="00F120A8">
            <w:pPr>
              <w:jc w:val="left"/>
              <w:rPr>
                <w:rFonts w:eastAsia="Times New Roman"/>
                <w:color w:val="000000"/>
              </w:rPr>
            </w:pPr>
            <w:r w:rsidRPr="00F120A8">
              <w:rPr>
                <w:rFonts w:eastAsia="Times New Roman"/>
                <w:color w:val="000000"/>
              </w:rPr>
              <w:t>HepA</w:t>
            </w:r>
          </w:p>
        </w:tc>
        <w:tc>
          <w:tcPr>
            <w:tcW w:w="960" w:type="dxa"/>
            <w:tcBorders>
              <w:top w:val="nil"/>
              <w:left w:val="nil"/>
              <w:bottom w:val="nil"/>
              <w:right w:val="nil"/>
            </w:tcBorders>
            <w:shd w:val="clear" w:color="auto" w:fill="auto"/>
            <w:noWrap/>
            <w:vAlign w:val="center"/>
            <w:hideMark/>
          </w:tcPr>
          <w:p w14:paraId="3E947C2B" w14:textId="59FF5C4B" w:rsidR="00F120A8" w:rsidRPr="00F120A8" w:rsidRDefault="00F120A8" w:rsidP="00F120A8">
            <w:pPr>
              <w:jc w:val="right"/>
              <w:rPr>
                <w:rFonts w:eastAsia="Times New Roman"/>
                <w:color w:val="000000"/>
              </w:rPr>
            </w:pPr>
            <w:r w:rsidRPr="00F120A8">
              <w:rPr>
                <w:rFonts w:eastAsia="Times New Roman"/>
                <w:color w:val="000000"/>
              </w:rPr>
              <w:t>4</w:t>
            </w:r>
          </w:p>
        </w:tc>
        <w:tc>
          <w:tcPr>
            <w:tcW w:w="480" w:type="dxa"/>
            <w:tcBorders>
              <w:top w:val="nil"/>
              <w:left w:val="nil"/>
              <w:bottom w:val="nil"/>
              <w:right w:val="nil"/>
            </w:tcBorders>
            <w:shd w:val="clear" w:color="auto" w:fill="auto"/>
            <w:noWrap/>
            <w:vAlign w:val="center"/>
            <w:hideMark/>
          </w:tcPr>
          <w:p w14:paraId="616C44BA" w14:textId="77777777" w:rsidR="00F120A8" w:rsidRPr="00F120A8" w:rsidRDefault="00F120A8" w:rsidP="00F120A8">
            <w:pPr>
              <w:jc w:val="right"/>
              <w:rPr>
                <w:rFonts w:eastAsia="Times New Roman"/>
                <w:color w:val="000000"/>
              </w:rPr>
            </w:pPr>
          </w:p>
        </w:tc>
        <w:tc>
          <w:tcPr>
            <w:tcW w:w="1350" w:type="dxa"/>
            <w:tcBorders>
              <w:top w:val="nil"/>
              <w:left w:val="nil"/>
              <w:bottom w:val="nil"/>
              <w:right w:val="nil"/>
            </w:tcBorders>
            <w:shd w:val="clear" w:color="auto" w:fill="auto"/>
            <w:noWrap/>
            <w:vAlign w:val="center"/>
            <w:hideMark/>
          </w:tcPr>
          <w:p w14:paraId="11957BE0" w14:textId="0A9B4CF9" w:rsidR="00F120A8" w:rsidRPr="00F120A8" w:rsidRDefault="00F120A8" w:rsidP="00F120A8">
            <w:pPr>
              <w:jc w:val="right"/>
              <w:rPr>
                <w:rFonts w:eastAsia="Times New Roman"/>
                <w:color w:val="000000"/>
              </w:rPr>
            </w:pPr>
            <w:r w:rsidRPr="00F120A8">
              <w:rPr>
                <w:rFonts w:eastAsia="Times New Roman"/>
                <w:color w:val="000000"/>
              </w:rPr>
              <w:t>3</w:t>
            </w:r>
          </w:p>
        </w:tc>
        <w:tc>
          <w:tcPr>
            <w:tcW w:w="900" w:type="dxa"/>
            <w:tcBorders>
              <w:top w:val="nil"/>
              <w:left w:val="nil"/>
              <w:bottom w:val="nil"/>
              <w:right w:val="nil"/>
            </w:tcBorders>
            <w:shd w:val="clear" w:color="auto" w:fill="auto"/>
            <w:noWrap/>
            <w:vAlign w:val="center"/>
            <w:hideMark/>
          </w:tcPr>
          <w:p w14:paraId="2EBDEDDC" w14:textId="77777777" w:rsidR="00F120A8" w:rsidRPr="00F120A8" w:rsidRDefault="00F120A8" w:rsidP="00F120A8">
            <w:pPr>
              <w:jc w:val="right"/>
              <w:rPr>
                <w:rFonts w:eastAsia="Times New Roman"/>
                <w:color w:val="000000"/>
              </w:rPr>
            </w:pPr>
          </w:p>
        </w:tc>
        <w:tc>
          <w:tcPr>
            <w:tcW w:w="910" w:type="dxa"/>
            <w:tcBorders>
              <w:top w:val="nil"/>
              <w:left w:val="nil"/>
              <w:bottom w:val="nil"/>
              <w:right w:val="nil"/>
            </w:tcBorders>
            <w:shd w:val="clear" w:color="auto" w:fill="auto"/>
            <w:noWrap/>
            <w:vAlign w:val="center"/>
            <w:hideMark/>
          </w:tcPr>
          <w:p w14:paraId="475ACE37" w14:textId="77777777" w:rsidR="00F120A8" w:rsidRPr="00F120A8" w:rsidRDefault="00F120A8" w:rsidP="00F120A8">
            <w:pPr>
              <w:jc w:val="right"/>
              <w:rPr>
                <w:rFonts w:eastAsia="Times New Roman"/>
                <w:color w:val="000000"/>
              </w:rPr>
            </w:pPr>
            <w:r w:rsidRPr="00F120A8">
              <w:rPr>
                <w:rFonts w:eastAsia="Times New Roman"/>
                <w:color w:val="000000"/>
              </w:rPr>
              <w:t>9.7</w:t>
            </w:r>
          </w:p>
        </w:tc>
        <w:tc>
          <w:tcPr>
            <w:tcW w:w="440" w:type="dxa"/>
            <w:tcBorders>
              <w:top w:val="nil"/>
              <w:left w:val="nil"/>
              <w:bottom w:val="nil"/>
              <w:right w:val="nil"/>
            </w:tcBorders>
            <w:shd w:val="clear" w:color="auto" w:fill="auto"/>
            <w:noWrap/>
            <w:vAlign w:val="center"/>
            <w:hideMark/>
          </w:tcPr>
          <w:p w14:paraId="01A5DDCA" w14:textId="77777777" w:rsidR="00F120A8" w:rsidRPr="00F120A8" w:rsidRDefault="00F120A8" w:rsidP="00F120A8">
            <w:pPr>
              <w:jc w:val="right"/>
              <w:rPr>
                <w:rFonts w:eastAsia="Times New Roman"/>
                <w:color w:val="000000"/>
              </w:rPr>
            </w:pPr>
          </w:p>
        </w:tc>
        <w:tc>
          <w:tcPr>
            <w:tcW w:w="760" w:type="dxa"/>
            <w:tcBorders>
              <w:top w:val="nil"/>
              <w:left w:val="nil"/>
              <w:bottom w:val="nil"/>
              <w:right w:val="nil"/>
            </w:tcBorders>
            <w:shd w:val="clear" w:color="auto" w:fill="auto"/>
            <w:noWrap/>
            <w:vAlign w:val="center"/>
            <w:hideMark/>
          </w:tcPr>
          <w:p w14:paraId="533A3EA3" w14:textId="77777777" w:rsidR="00F120A8" w:rsidRPr="00F120A8" w:rsidRDefault="00F120A8" w:rsidP="00F120A8">
            <w:pPr>
              <w:jc w:val="right"/>
              <w:rPr>
                <w:rFonts w:eastAsia="Times New Roman"/>
                <w:color w:val="000000"/>
              </w:rPr>
            </w:pPr>
            <w:r w:rsidRPr="00F120A8">
              <w:rPr>
                <w:rFonts w:eastAsia="Times New Roman"/>
                <w:color w:val="000000"/>
              </w:rPr>
              <w:t>5.3</w:t>
            </w:r>
          </w:p>
        </w:tc>
        <w:tc>
          <w:tcPr>
            <w:tcW w:w="236" w:type="dxa"/>
            <w:tcBorders>
              <w:top w:val="nil"/>
              <w:left w:val="nil"/>
              <w:bottom w:val="nil"/>
              <w:right w:val="nil"/>
            </w:tcBorders>
            <w:shd w:val="clear" w:color="auto" w:fill="auto"/>
            <w:noWrap/>
            <w:vAlign w:val="bottom"/>
            <w:hideMark/>
          </w:tcPr>
          <w:p w14:paraId="7C81CC27" w14:textId="77777777" w:rsidR="00F120A8" w:rsidRPr="00F120A8" w:rsidRDefault="00F120A8" w:rsidP="00F120A8">
            <w:pPr>
              <w:jc w:val="right"/>
              <w:rPr>
                <w:rFonts w:eastAsia="Times New Roman"/>
                <w:color w:val="000000"/>
              </w:rPr>
            </w:pPr>
          </w:p>
        </w:tc>
      </w:tr>
      <w:tr w:rsidR="00F120A8" w:rsidRPr="00F120A8" w14:paraId="279BA2C9" w14:textId="77777777" w:rsidTr="00F3793E">
        <w:trPr>
          <w:trHeight w:val="310"/>
        </w:trPr>
        <w:tc>
          <w:tcPr>
            <w:tcW w:w="1620" w:type="dxa"/>
            <w:tcBorders>
              <w:top w:val="nil"/>
              <w:left w:val="nil"/>
              <w:bottom w:val="nil"/>
              <w:right w:val="nil"/>
            </w:tcBorders>
            <w:shd w:val="clear" w:color="auto" w:fill="auto"/>
            <w:noWrap/>
            <w:vAlign w:val="center"/>
            <w:hideMark/>
          </w:tcPr>
          <w:p w14:paraId="05FEB878" w14:textId="77777777" w:rsidR="00F120A8" w:rsidRPr="00F120A8" w:rsidRDefault="00F120A8" w:rsidP="00F120A8">
            <w:pPr>
              <w:jc w:val="left"/>
              <w:rPr>
                <w:rFonts w:eastAsia="Times New Roman"/>
                <w:color w:val="000000"/>
              </w:rPr>
            </w:pPr>
            <w:r w:rsidRPr="00F120A8">
              <w:rPr>
                <w:rFonts w:eastAsia="Times New Roman"/>
                <w:color w:val="000000"/>
              </w:rPr>
              <w:t>HepB</w:t>
            </w:r>
          </w:p>
        </w:tc>
        <w:tc>
          <w:tcPr>
            <w:tcW w:w="960" w:type="dxa"/>
            <w:tcBorders>
              <w:top w:val="nil"/>
              <w:left w:val="nil"/>
              <w:bottom w:val="nil"/>
              <w:right w:val="nil"/>
            </w:tcBorders>
            <w:shd w:val="clear" w:color="auto" w:fill="auto"/>
            <w:noWrap/>
            <w:vAlign w:val="center"/>
            <w:hideMark/>
          </w:tcPr>
          <w:p w14:paraId="17F79396" w14:textId="343BC2E6" w:rsidR="00F120A8" w:rsidRPr="00F120A8" w:rsidRDefault="00F120A8" w:rsidP="00F120A8">
            <w:pPr>
              <w:jc w:val="right"/>
              <w:rPr>
                <w:rFonts w:eastAsia="Times New Roman"/>
                <w:color w:val="000000"/>
              </w:rPr>
            </w:pPr>
            <w:r w:rsidRPr="00F120A8">
              <w:rPr>
                <w:rFonts w:eastAsia="Times New Roman"/>
                <w:color w:val="000000"/>
              </w:rPr>
              <w:t>4</w:t>
            </w:r>
          </w:p>
        </w:tc>
        <w:tc>
          <w:tcPr>
            <w:tcW w:w="480" w:type="dxa"/>
            <w:tcBorders>
              <w:top w:val="nil"/>
              <w:left w:val="nil"/>
              <w:bottom w:val="nil"/>
              <w:right w:val="nil"/>
            </w:tcBorders>
            <w:shd w:val="clear" w:color="auto" w:fill="auto"/>
            <w:noWrap/>
            <w:vAlign w:val="center"/>
            <w:hideMark/>
          </w:tcPr>
          <w:p w14:paraId="0FE5999E" w14:textId="77777777" w:rsidR="00F120A8" w:rsidRPr="00F120A8" w:rsidRDefault="00F120A8" w:rsidP="00F120A8">
            <w:pPr>
              <w:jc w:val="right"/>
              <w:rPr>
                <w:rFonts w:eastAsia="Times New Roman"/>
                <w:color w:val="000000"/>
              </w:rPr>
            </w:pPr>
          </w:p>
        </w:tc>
        <w:tc>
          <w:tcPr>
            <w:tcW w:w="1350" w:type="dxa"/>
            <w:tcBorders>
              <w:top w:val="nil"/>
              <w:left w:val="nil"/>
              <w:bottom w:val="nil"/>
              <w:right w:val="nil"/>
            </w:tcBorders>
            <w:shd w:val="clear" w:color="auto" w:fill="auto"/>
            <w:noWrap/>
            <w:vAlign w:val="center"/>
            <w:hideMark/>
          </w:tcPr>
          <w:p w14:paraId="7642F7BF" w14:textId="56117FC2" w:rsidR="00F120A8" w:rsidRPr="00F120A8" w:rsidRDefault="00F120A8" w:rsidP="00F120A8">
            <w:pPr>
              <w:jc w:val="right"/>
              <w:rPr>
                <w:rFonts w:eastAsia="Times New Roman"/>
                <w:color w:val="000000"/>
              </w:rPr>
            </w:pPr>
            <w:r w:rsidRPr="00F120A8">
              <w:rPr>
                <w:rFonts w:eastAsia="Times New Roman"/>
                <w:color w:val="000000"/>
              </w:rPr>
              <w:t>3</w:t>
            </w:r>
          </w:p>
        </w:tc>
        <w:tc>
          <w:tcPr>
            <w:tcW w:w="900" w:type="dxa"/>
            <w:tcBorders>
              <w:top w:val="nil"/>
              <w:left w:val="nil"/>
              <w:bottom w:val="nil"/>
              <w:right w:val="nil"/>
            </w:tcBorders>
            <w:shd w:val="clear" w:color="auto" w:fill="auto"/>
            <w:noWrap/>
            <w:vAlign w:val="center"/>
            <w:hideMark/>
          </w:tcPr>
          <w:p w14:paraId="022740D1" w14:textId="77777777" w:rsidR="00F120A8" w:rsidRPr="00F120A8" w:rsidRDefault="00F120A8" w:rsidP="00F120A8">
            <w:pPr>
              <w:jc w:val="right"/>
              <w:rPr>
                <w:rFonts w:eastAsia="Times New Roman"/>
                <w:color w:val="000000"/>
              </w:rPr>
            </w:pPr>
          </w:p>
        </w:tc>
        <w:tc>
          <w:tcPr>
            <w:tcW w:w="910" w:type="dxa"/>
            <w:tcBorders>
              <w:top w:val="nil"/>
              <w:left w:val="nil"/>
              <w:bottom w:val="nil"/>
              <w:right w:val="nil"/>
            </w:tcBorders>
            <w:shd w:val="clear" w:color="auto" w:fill="auto"/>
            <w:noWrap/>
            <w:vAlign w:val="center"/>
            <w:hideMark/>
          </w:tcPr>
          <w:p w14:paraId="36EE5117" w14:textId="77777777" w:rsidR="00F120A8" w:rsidRPr="00F120A8" w:rsidRDefault="00F120A8" w:rsidP="00F120A8">
            <w:pPr>
              <w:jc w:val="right"/>
              <w:rPr>
                <w:rFonts w:eastAsia="Times New Roman"/>
                <w:color w:val="000000"/>
              </w:rPr>
            </w:pPr>
            <w:r w:rsidRPr="00F120A8">
              <w:rPr>
                <w:rFonts w:eastAsia="Times New Roman"/>
                <w:color w:val="000000"/>
              </w:rPr>
              <w:t>10.6</w:t>
            </w:r>
          </w:p>
        </w:tc>
        <w:tc>
          <w:tcPr>
            <w:tcW w:w="440" w:type="dxa"/>
            <w:tcBorders>
              <w:top w:val="nil"/>
              <w:left w:val="nil"/>
              <w:bottom w:val="nil"/>
              <w:right w:val="nil"/>
            </w:tcBorders>
            <w:shd w:val="clear" w:color="auto" w:fill="auto"/>
            <w:noWrap/>
            <w:vAlign w:val="center"/>
            <w:hideMark/>
          </w:tcPr>
          <w:p w14:paraId="6FA9BDEA" w14:textId="77777777" w:rsidR="00F120A8" w:rsidRPr="00F120A8" w:rsidRDefault="00F120A8" w:rsidP="00F120A8">
            <w:pPr>
              <w:jc w:val="right"/>
              <w:rPr>
                <w:rFonts w:eastAsia="Times New Roman"/>
                <w:color w:val="000000"/>
              </w:rPr>
            </w:pPr>
          </w:p>
        </w:tc>
        <w:tc>
          <w:tcPr>
            <w:tcW w:w="760" w:type="dxa"/>
            <w:tcBorders>
              <w:top w:val="nil"/>
              <w:left w:val="nil"/>
              <w:bottom w:val="nil"/>
              <w:right w:val="nil"/>
            </w:tcBorders>
            <w:shd w:val="clear" w:color="auto" w:fill="auto"/>
            <w:noWrap/>
            <w:vAlign w:val="center"/>
            <w:hideMark/>
          </w:tcPr>
          <w:p w14:paraId="5DE7B3B1" w14:textId="77777777" w:rsidR="00F120A8" w:rsidRPr="00F120A8" w:rsidRDefault="00F120A8" w:rsidP="00F120A8">
            <w:pPr>
              <w:jc w:val="right"/>
              <w:rPr>
                <w:rFonts w:eastAsia="Times New Roman"/>
                <w:color w:val="000000"/>
              </w:rPr>
            </w:pPr>
            <w:r w:rsidRPr="00F120A8">
              <w:rPr>
                <w:rFonts w:eastAsia="Times New Roman"/>
                <w:color w:val="000000"/>
              </w:rPr>
              <w:t>10.6</w:t>
            </w:r>
          </w:p>
        </w:tc>
        <w:tc>
          <w:tcPr>
            <w:tcW w:w="236" w:type="dxa"/>
            <w:tcBorders>
              <w:top w:val="nil"/>
              <w:left w:val="nil"/>
              <w:bottom w:val="nil"/>
              <w:right w:val="nil"/>
            </w:tcBorders>
            <w:shd w:val="clear" w:color="auto" w:fill="auto"/>
            <w:noWrap/>
            <w:vAlign w:val="bottom"/>
            <w:hideMark/>
          </w:tcPr>
          <w:p w14:paraId="1CE5668B" w14:textId="77777777" w:rsidR="00F120A8" w:rsidRPr="00F120A8" w:rsidRDefault="00F120A8" w:rsidP="00F120A8">
            <w:pPr>
              <w:jc w:val="right"/>
              <w:rPr>
                <w:rFonts w:eastAsia="Times New Roman"/>
                <w:color w:val="000000"/>
              </w:rPr>
            </w:pPr>
          </w:p>
        </w:tc>
      </w:tr>
      <w:tr w:rsidR="00F120A8" w:rsidRPr="00F120A8" w14:paraId="06ACD92B" w14:textId="77777777" w:rsidTr="00F3793E">
        <w:trPr>
          <w:trHeight w:val="310"/>
        </w:trPr>
        <w:tc>
          <w:tcPr>
            <w:tcW w:w="1620" w:type="dxa"/>
            <w:tcBorders>
              <w:top w:val="nil"/>
              <w:left w:val="nil"/>
              <w:bottom w:val="nil"/>
              <w:right w:val="nil"/>
            </w:tcBorders>
            <w:shd w:val="clear" w:color="auto" w:fill="auto"/>
            <w:noWrap/>
            <w:vAlign w:val="center"/>
            <w:hideMark/>
          </w:tcPr>
          <w:p w14:paraId="18C0CD04" w14:textId="77777777" w:rsidR="00F120A8" w:rsidRPr="00F120A8" w:rsidRDefault="00F120A8" w:rsidP="00F120A8">
            <w:pPr>
              <w:jc w:val="left"/>
              <w:rPr>
                <w:rFonts w:eastAsia="Times New Roman"/>
                <w:color w:val="000000"/>
              </w:rPr>
            </w:pPr>
            <w:r w:rsidRPr="00F120A8">
              <w:rPr>
                <w:rFonts w:eastAsia="Times New Roman"/>
                <w:color w:val="000000"/>
              </w:rPr>
              <w:t>Hib</w:t>
            </w:r>
          </w:p>
        </w:tc>
        <w:tc>
          <w:tcPr>
            <w:tcW w:w="960" w:type="dxa"/>
            <w:tcBorders>
              <w:top w:val="nil"/>
              <w:left w:val="nil"/>
              <w:bottom w:val="nil"/>
              <w:right w:val="nil"/>
            </w:tcBorders>
            <w:shd w:val="clear" w:color="auto" w:fill="auto"/>
            <w:noWrap/>
            <w:vAlign w:val="center"/>
            <w:hideMark/>
          </w:tcPr>
          <w:p w14:paraId="3785DDAF" w14:textId="69AC87DD" w:rsidR="00F120A8" w:rsidRPr="00F120A8" w:rsidRDefault="00F120A8" w:rsidP="00F120A8">
            <w:pPr>
              <w:jc w:val="right"/>
              <w:rPr>
                <w:rFonts w:eastAsia="Times New Roman"/>
                <w:color w:val="000000"/>
              </w:rPr>
            </w:pPr>
            <w:r w:rsidRPr="00F120A8">
              <w:rPr>
                <w:rFonts w:eastAsia="Times New Roman"/>
                <w:color w:val="000000"/>
              </w:rPr>
              <w:t>3</w:t>
            </w:r>
          </w:p>
        </w:tc>
        <w:tc>
          <w:tcPr>
            <w:tcW w:w="480" w:type="dxa"/>
            <w:tcBorders>
              <w:top w:val="nil"/>
              <w:left w:val="nil"/>
              <w:bottom w:val="nil"/>
              <w:right w:val="nil"/>
            </w:tcBorders>
            <w:shd w:val="clear" w:color="auto" w:fill="auto"/>
            <w:noWrap/>
            <w:vAlign w:val="center"/>
            <w:hideMark/>
          </w:tcPr>
          <w:p w14:paraId="25964423" w14:textId="77777777" w:rsidR="00F120A8" w:rsidRPr="00F120A8" w:rsidRDefault="00F120A8" w:rsidP="00F120A8">
            <w:pPr>
              <w:jc w:val="right"/>
              <w:rPr>
                <w:rFonts w:eastAsia="Times New Roman"/>
                <w:color w:val="000000"/>
              </w:rPr>
            </w:pPr>
          </w:p>
        </w:tc>
        <w:tc>
          <w:tcPr>
            <w:tcW w:w="1350" w:type="dxa"/>
            <w:tcBorders>
              <w:top w:val="nil"/>
              <w:left w:val="nil"/>
              <w:bottom w:val="nil"/>
              <w:right w:val="nil"/>
            </w:tcBorders>
            <w:shd w:val="clear" w:color="auto" w:fill="auto"/>
            <w:noWrap/>
            <w:vAlign w:val="center"/>
            <w:hideMark/>
          </w:tcPr>
          <w:p w14:paraId="10C0CA16" w14:textId="715212FF" w:rsidR="00F120A8" w:rsidRPr="00F120A8" w:rsidRDefault="00F120A8" w:rsidP="00F120A8">
            <w:pPr>
              <w:jc w:val="right"/>
              <w:rPr>
                <w:rFonts w:eastAsia="Times New Roman"/>
                <w:color w:val="000000"/>
              </w:rPr>
            </w:pPr>
            <w:r w:rsidRPr="00F120A8">
              <w:rPr>
                <w:rFonts w:eastAsia="Times New Roman"/>
                <w:color w:val="000000"/>
              </w:rPr>
              <w:t>2</w:t>
            </w:r>
          </w:p>
        </w:tc>
        <w:tc>
          <w:tcPr>
            <w:tcW w:w="900" w:type="dxa"/>
            <w:tcBorders>
              <w:top w:val="nil"/>
              <w:left w:val="nil"/>
              <w:bottom w:val="nil"/>
              <w:right w:val="nil"/>
            </w:tcBorders>
            <w:shd w:val="clear" w:color="auto" w:fill="auto"/>
            <w:noWrap/>
            <w:vAlign w:val="center"/>
            <w:hideMark/>
          </w:tcPr>
          <w:p w14:paraId="4F155986" w14:textId="77777777" w:rsidR="00F120A8" w:rsidRPr="00F120A8" w:rsidRDefault="00F120A8" w:rsidP="00F120A8">
            <w:pPr>
              <w:jc w:val="right"/>
              <w:rPr>
                <w:rFonts w:eastAsia="Times New Roman"/>
                <w:color w:val="000000"/>
              </w:rPr>
            </w:pPr>
          </w:p>
        </w:tc>
        <w:tc>
          <w:tcPr>
            <w:tcW w:w="910" w:type="dxa"/>
            <w:tcBorders>
              <w:top w:val="nil"/>
              <w:left w:val="nil"/>
              <w:bottom w:val="nil"/>
              <w:right w:val="nil"/>
            </w:tcBorders>
            <w:shd w:val="clear" w:color="auto" w:fill="auto"/>
            <w:noWrap/>
            <w:vAlign w:val="center"/>
            <w:hideMark/>
          </w:tcPr>
          <w:p w14:paraId="011857FA" w14:textId="77777777" w:rsidR="00F120A8" w:rsidRPr="00F120A8" w:rsidRDefault="00F120A8" w:rsidP="00F120A8">
            <w:pPr>
              <w:jc w:val="right"/>
              <w:rPr>
                <w:rFonts w:eastAsia="Times New Roman"/>
                <w:color w:val="000000"/>
              </w:rPr>
            </w:pPr>
            <w:r w:rsidRPr="00F120A8">
              <w:rPr>
                <w:rFonts w:eastAsia="Times New Roman"/>
                <w:color w:val="000000"/>
              </w:rPr>
              <w:t>15.0</w:t>
            </w:r>
          </w:p>
        </w:tc>
        <w:tc>
          <w:tcPr>
            <w:tcW w:w="440" w:type="dxa"/>
            <w:tcBorders>
              <w:top w:val="nil"/>
              <w:left w:val="nil"/>
              <w:bottom w:val="nil"/>
              <w:right w:val="nil"/>
            </w:tcBorders>
            <w:shd w:val="clear" w:color="auto" w:fill="auto"/>
            <w:noWrap/>
            <w:vAlign w:val="center"/>
            <w:hideMark/>
          </w:tcPr>
          <w:p w14:paraId="1DF3D3AF" w14:textId="77777777" w:rsidR="00F120A8" w:rsidRPr="00F120A8" w:rsidRDefault="00F120A8" w:rsidP="00F120A8">
            <w:pPr>
              <w:jc w:val="right"/>
              <w:rPr>
                <w:rFonts w:eastAsia="Times New Roman"/>
                <w:color w:val="000000"/>
              </w:rPr>
            </w:pPr>
          </w:p>
        </w:tc>
        <w:tc>
          <w:tcPr>
            <w:tcW w:w="760" w:type="dxa"/>
            <w:tcBorders>
              <w:top w:val="nil"/>
              <w:left w:val="nil"/>
              <w:bottom w:val="nil"/>
              <w:right w:val="nil"/>
            </w:tcBorders>
            <w:shd w:val="clear" w:color="auto" w:fill="auto"/>
            <w:noWrap/>
            <w:vAlign w:val="center"/>
            <w:hideMark/>
          </w:tcPr>
          <w:p w14:paraId="2E0CAD74" w14:textId="77777777" w:rsidR="00F120A8" w:rsidRPr="00F120A8" w:rsidRDefault="00F120A8" w:rsidP="00F120A8">
            <w:pPr>
              <w:jc w:val="right"/>
              <w:rPr>
                <w:rFonts w:eastAsia="Times New Roman"/>
                <w:color w:val="000000"/>
              </w:rPr>
            </w:pPr>
            <w:r w:rsidRPr="00F120A8">
              <w:rPr>
                <w:rFonts w:eastAsia="Times New Roman"/>
                <w:color w:val="000000"/>
              </w:rPr>
              <w:t>10.0</w:t>
            </w:r>
          </w:p>
        </w:tc>
        <w:tc>
          <w:tcPr>
            <w:tcW w:w="236" w:type="dxa"/>
            <w:tcBorders>
              <w:top w:val="nil"/>
              <w:left w:val="nil"/>
              <w:bottom w:val="nil"/>
              <w:right w:val="nil"/>
            </w:tcBorders>
            <w:shd w:val="clear" w:color="auto" w:fill="auto"/>
            <w:noWrap/>
            <w:vAlign w:val="bottom"/>
            <w:hideMark/>
          </w:tcPr>
          <w:p w14:paraId="3767080E" w14:textId="77777777" w:rsidR="00F120A8" w:rsidRPr="00F120A8" w:rsidRDefault="00F120A8" w:rsidP="00F120A8">
            <w:pPr>
              <w:jc w:val="right"/>
              <w:rPr>
                <w:rFonts w:eastAsia="Times New Roman"/>
                <w:color w:val="000000"/>
              </w:rPr>
            </w:pPr>
          </w:p>
        </w:tc>
      </w:tr>
      <w:tr w:rsidR="00F120A8" w:rsidRPr="00F120A8" w14:paraId="06784EF2" w14:textId="77777777" w:rsidTr="00F3793E">
        <w:trPr>
          <w:trHeight w:val="310"/>
        </w:trPr>
        <w:tc>
          <w:tcPr>
            <w:tcW w:w="1620" w:type="dxa"/>
            <w:tcBorders>
              <w:top w:val="nil"/>
              <w:left w:val="nil"/>
              <w:bottom w:val="nil"/>
              <w:right w:val="nil"/>
            </w:tcBorders>
            <w:shd w:val="clear" w:color="auto" w:fill="auto"/>
            <w:noWrap/>
            <w:vAlign w:val="center"/>
            <w:hideMark/>
          </w:tcPr>
          <w:p w14:paraId="3013FAC6" w14:textId="77777777" w:rsidR="00F120A8" w:rsidRPr="00F120A8" w:rsidRDefault="00F120A8" w:rsidP="00F120A8">
            <w:pPr>
              <w:jc w:val="left"/>
              <w:rPr>
                <w:rFonts w:eastAsia="Times New Roman"/>
                <w:color w:val="000000"/>
              </w:rPr>
            </w:pPr>
            <w:r w:rsidRPr="00F120A8">
              <w:rPr>
                <w:rFonts w:eastAsia="Times New Roman"/>
                <w:color w:val="000000"/>
              </w:rPr>
              <w:t>HPV-Cervarix</w:t>
            </w:r>
          </w:p>
        </w:tc>
        <w:tc>
          <w:tcPr>
            <w:tcW w:w="960" w:type="dxa"/>
            <w:tcBorders>
              <w:top w:val="nil"/>
              <w:left w:val="nil"/>
              <w:bottom w:val="nil"/>
              <w:right w:val="nil"/>
            </w:tcBorders>
            <w:shd w:val="clear" w:color="auto" w:fill="auto"/>
            <w:noWrap/>
            <w:vAlign w:val="center"/>
            <w:hideMark/>
          </w:tcPr>
          <w:p w14:paraId="09884198" w14:textId="645FFA9E" w:rsidR="00F120A8" w:rsidRPr="00F120A8" w:rsidRDefault="00F120A8" w:rsidP="00F120A8">
            <w:pPr>
              <w:jc w:val="right"/>
              <w:rPr>
                <w:rFonts w:eastAsia="Times New Roman"/>
                <w:color w:val="000000"/>
              </w:rPr>
            </w:pPr>
            <w:r w:rsidRPr="00F120A8">
              <w:rPr>
                <w:rFonts w:eastAsia="Times New Roman"/>
                <w:color w:val="000000"/>
              </w:rPr>
              <w:t>6</w:t>
            </w:r>
          </w:p>
        </w:tc>
        <w:tc>
          <w:tcPr>
            <w:tcW w:w="480" w:type="dxa"/>
            <w:tcBorders>
              <w:top w:val="nil"/>
              <w:left w:val="nil"/>
              <w:bottom w:val="nil"/>
              <w:right w:val="nil"/>
            </w:tcBorders>
            <w:shd w:val="clear" w:color="auto" w:fill="auto"/>
            <w:noWrap/>
            <w:vAlign w:val="center"/>
            <w:hideMark/>
          </w:tcPr>
          <w:p w14:paraId="4B491885" w14:textId="77777777" w:rsidR="00F120A8" w:rsidRPr="00F120A8" w:rsidRDefault="00F120A8" w:rsidP="00F120A8">
            <w:pPr>
              <w:jc w:val="right"/>
              <w:rPr>
                <w:rFonts w:eastAsia="Times New Roman"/>
                <w:color w:val="000000"/>
              </w:rPr>
            </w:pPr>
          </w:p>
        </w:tc>
        <w:tc>
          <w:tcPr>
            <w:tcW w:w="1350" w:type="dxa"/>
            <w:tcBorders>
              <w:top w:val="nil"/>
              <w:left w:val="nil"/>
              <w:bottom w:val="nil"/>
              <w:right w:val="nil"/>
            </w:tcBorders>
            <w:shd w:val="clear" w:color="auto" w:fill="auto"/>
            <w:noWrap/>
            <w:vAlign w:val="center"/>
            <w:hideMark/>
          </w:tcPr>
          <w:p w14:paraId="4E3E77EA" w14:textId="40DF94C9" w:rsidR="00F120A8" w:rsidRPr="00F120A8" w:rsidRDefault="00F120A8" w:rsidP="00F120A8">
            <w:pPr>
              <w:jc w:val="right"/>
              <w:rPr>
                <w:rFonts w:eastAsia="Times New Roman"/>
                <w:color w:val="000000"/>
              </w:rPr>
            </w:pPr>
            <w:r w:rsidRPr="00F120A8">
              <w:rPr>
                <w:rFonts w:eastAsia="Times New Roman"/>
                <w:color w:val="000000"/>
              </w:rPr>
              <w:t>6</w:t>
            </w:r>
          </w:p>
        </w:tc>
        <w:tc>
          <w:tcPr>
            <w:tcW w:w="900" w:type="dxa"/>
            <w:tcBorders>
              <w:top w:val="nil"/>
              <w:left w:val="nil"/>
              <w:bottom w:val="nil"/>
              <w:right w:val="nil"/>
            </w:tcBorders>
            <w:shd w:val="clear" w:color="auto" w:fill="auto"/>
            <w:noWrap/>
            <w:vAlign w:val="center"/>
            <w:hideMark/>
          </w:tcPr>
          <w:p w14:paraId="4D8B1E6E" w14:textId="77777777" w:rsidR="00F120A8" w:rsidRPr="00F120A8" w:rsidRDefault="00F120A8" w:rsidP="00F120A8">
            <w:pPr>
              <w:jc w:val="right"/>
              <w:rPr>
                <w:rFonts w:eastAsia="Times New Roman"/>
                <w:color w:val="000000"/>
              </w:rPr>
            </w:pPr>
          </w:p>
        </w:tc>
        <w:tc>
          <w:tcPr>
            <w:tcW w:w="910" w:type="dxa"/>
            <w:tcBorders>
              <w:top w:val="nil"/>
              <w:left w:val="nil"/>
              <w:bottom w:val="nil"/>
              <w:right w:val="nil"/>
            </w:tcBorders>
            <w:shd w:val="clear" w:color="auto" w:fill="auto"/>
            <w:noWrap/>
            <w:vAlign w:val="center"/>
            <w:hideMark/>
          </w:tcPr>
          <w:p w14:paraId="6D1B344E" w14:textId="77777777" w:rsidR="00F120A8" w:rsidRPr="00F120A8" w:rsidRDefault="00F120A8" w:rsidP="00F120A8">
            <w:pPr>
              <w:jc w:val="right"/>
              <w:rPr>
                <w:rFonts w:eastAsia="Times New Roman"/>
                <w:color w:val="000000"/>
              </w:rPr>
            </w:pPr>
            <w:r w:rsidRPr="00F120A8">
              <w:rPr>
                <w:rFonts w:eastAsia="Times New Roman"/>
                <w:color w:val="000000"/>
              </w:rPr>
              <w:t>46.3</w:t>
            </w:r>
          </w:p>
        </w:tc>
        <w:tc>
          <w:tcPr>
            <w:tcW w:w="440" w:type="dxa"/>
            <w:tcBorders>
              <w:top w:val="nil"/>
              <w:left w:val="nil"/>
              <w:bottom w:val="nil"/>
              <w:right w:val="nil"/>
            </w:tcBorders>
            <w:shd w:val="clear" w:color="auto" w:fill="auto"/>
            <w:noWrap/>
            <w:vAlign w:val="center"/>
            <w:hideMark/>
          </w:tcPr>
          <w:p w14:paraId="47B28614" w14:textId="77777777" w:rsidR="00F120A8" w:rsidRPr="00F120A8" w:rsidRDefault="00F120A8" w:rsidP="00F120A8">
            <w:pPr>
              <w:jc w:val="right"/>
              <w:rPr>
                <w:rFonts w:eastAsia="Times New Roman"/>
                <w:color w:val="000000"/>
              </w:rPr>
            </w:pPr>
          </w:p>
        </w:tc>
        <w:tc>
          <w:tcPr>
            <w:tcW w:w="760" w:type="dxa"/>
            <w:tcBorders>
              <w:top w:val="nil"/>
              <w:left w:val="nil"/>
              <w:bottom w:val="nil"/>
              <w:right w:val="nil"/>
            </w:tcBorders>
            <w:shd w:val="clear" w:color="auto" w:fill="auto"/>
            <w:noWrap/>
            <w:vAlign w:val="center"/>
            <w:hideMark/>
          </w:tcPr>
          <w:p w14:paraId="26CE7CEB" w14:textId="77777777" w:rsidR="00F120A8" w:rsidRPr="00F120A8" w:rsidRDefault="00F120A8" w:rsidP="00F120A8">
            <w:pPr>
              <w:jc w:val="right"/>
              <w:rPr>
                <w:rFonts w:eastAsia="Times New Roman"/>
                <w:color w:val="000000"/>
              </w:rPr>
            </w:pPr>
            <w:r w:rsidRPr="00F120A8">
              <w:rPr>
                <w:rFonts w:eastAsia="Times New Roman"/>
                <w:color w:val="000000"/>
              </w:rPr>
              <w:t>24.3</w:t>
            </w:r>
          </w:p>
        </w:tc>
        <w:tc>
          <w:tcPr>
            <w:tcW w:w="236" w:type="dxa"/>
            <w:tcBorders>
              <w:top w:val="nil"/>
              <w:left w:val="nil"/>
              <w:bottom w:val="nil"/>
              <w:right w:val="nil"/>
            </w:tcBorders>
            <w:shd w:val="clear" w:color="auto" w:fill="auto"/>
            <w:noWrap/>
            <w:vAlign w:val="bottom"/>
            <w:hideMark/>
          </w:tcPr>
          <w:p w14:paraId="5A9AFA11" w14:textId="77777777" w:rsidR="00F120A8" w:rsidRPr="00F120A8" w:rsidRDefault="00F120A8" w:rsidP="00F120A8">
            <w:pPr>
              <w:jc w:val="right"/>
              <w:rPr>
                <w:rFonts w:eastAsia="Times New Roman"/>
                <w:color w:val="000000"/>
              </w:rPr>
            </w:pPr>
          </w:p>
        </w:tc>
      </w:tr>
      <w:tr w:rsidR="00F120A8" w:rsidRPr="00F120A8" w14:paraId="1ADE745C" w14:textId="77777777" w:rsidTr="00F3793E">
        <w:trPr>
          <w:trHeight w:val="310"/>
        </w:trPr>
        <w:tc>
          <w:tcPr>
            <w:tcW w:w="1620" w:type="dxa"/>
            <w:tcBorders>
              <w:top w:val="nil"/>
              <w:left w:val="nil"/>
              <w:bottom w:val="nil"/>
              <w:right w:val="nil"/>
            </w:tcBorders>
            <w:shd w:val="clear" w:color="auto" w:fill="auto"/>
            <w:noWrap/>
            <w:vAlign w:val="center"/>
            <w:hideMark/>
          </w:tcPr>
          <w:p w14:paraId="50795B8D" w14:textId="77777777" w:rsidR="00F120A8" w:rsidRPr="00F120A8" w:rsidRDefault="00F120A8" w:rsidP="00F120A8">
            <w:pPr>
              <w:jc w:val="left"/>
              <w:rPr>
                <w:rFonts w:eastAsia="Times New Roman"/>
                <w:color w:val="000000"/>
              </w:rPr>
            </w:pPr>
            <w:r w:rsidRPr="00F120A8">
              <w:rPr>
                <w:rFonts w:eastAsia="Times New Roman"/>
                <w:color w:val="000000"/>
              </w:rPr>
              <w:t>HPV-Gardasil</w:t>
            </w:r>
          </w:p>
        </w:tc>
        <w:tc>
          <w:tcPr>
            <w:tcW w:w="960" w:type="dxa"/>
            <w:tcBorders>
              <w:top w:val="nil"/>
              <w:left w:val="nil"/>
              <w:bottom w:val="nil"/>
              <w:right w:val="nil"/>
            </w:tcBorders>
            <w:shd w:val="clear" w:color="auto" w:fill="auto"/>
            <w:noWrap/>
            <w:vAlign w:val="center"/>
            <w:hideMark/>
          </w:tcPr>
          <w:p w14:paraId="5ABA0E8E" w14:textId="34C4B93D" w:rsidR="00F120A8" w:rsidRPr="00F120A8" w:rsidRDefault="00F120A8" w:rsidP="00F120A8">
            <w:pPr>
              <w:jc w:val="right"/>
              <w:rPr>
                <w:rFonts w:eastAsia="Times New Roman"/>
                <w:color w:val="000000"/>
              </w:rPr>
            </w:pPr>
            <w:r w:rsidRPr="00F120A8">
              <w:rPr>
                <w:rFonts w:eastAsia="Times New Roman"/>
                <w:color w:val="000000"/>
              </w:rPr>
              <w:t>5</w:t>
            </w:r>
          </w:p>
        </w:tc>
        <w:tc>
          <w:tcPr>
            <w:tcW w:w="480" w:type="dxa"/>
            <w:tcBorders>
              <w:top w:val="nil"/>
              <w:left w:val="nil"/>
              <w:bottom w:val="nil"/>
              <w:right w:val="nil"/>
            </w:tcBorders>
            <w:shd w:val="clear" w:color="auto" w:fill="auto"/>
            <w:noWrap/>
            <w:vAlign w:val="center"/>
            <w:hideMark/>
          </w:tcPr>
          <w:p w14:paraId="2ECD51BA" w14:textId="77777777" w:rsidR="00F120A8" w:rsidRPr="00F120A8" w:rsidRDefault="00F120A8" w:rsidP="00F120A8">
            <w:pPr>
              <w:jc w:val="right"/>
              <w:rPr>
                <w:rFonts w:eastAsia="Times New Roman"/>
                <w:color w:val="000000"/>
              </w:rPr>
            </w:pPr>
          </w:p>
        </w:tc>
        <w:tc>
          <w:tcPr>
            <w:tcW w:w="1350" w:type="dxa"/>
            <w:tcBorders>
              <w:top w:val="nil"/>
              <w:left w:val="nil"/>
              <w:bottom w:val="nil"/>
              <w:right w:val="nil"/>
            </w:tcBorders>
            <w:shd w:val="clear" w:color="auto" w:fill="auto"/>
            <w:noWrap/>
            <w:vAlign w:val="center"/>
            <w:hideMark/>
          </w:tcPr>
          <w:p w14:paraId="15C514E1" w14:textId="2DDE147B" w:rsidR="00F120A8" w:rsidRPr="00F120A8" w:rsidRDefault="00F120A8" w:rsidP="00F120A8">
            <w:pPr>
              <w:jc w:val="right"/>
              <w:rPr>
                <w:rFonts w:eastAsia="Times New Roman"/>
                <w:color w:val="000000"/>
              </w:rPr>
            </w:pPr>
            <w:r w:rsidRPr="00F120A8">
              <w:rPr>
                <w:rFonts w:eastAsia="Times New Roman"/>
                <w:color w:val="000000"/>
              </w:rPr>
              <w:t>5</w:t>
            </w:r>
          </w:p>
        </w:tc>
        <w:tc>
          <w:tcPr>
            <w:tcW w:w="900" w:type="dxa"/>
            <w:tcBorders>
              <w:top w:val="nil"/>
              <w:left w:val="nil"/>
              <w:bottom w:val="nil"/>
              <w:right w:val="nil"/>
            </w:tcBorders>
            <w:shd w:val="clear" w:color="auto" w:fill="auto"/>
            <w:noWrap/>
            <w:vAlign w:val="center"/>
            <w:hideMark/>
          </w:tcPr>
          <w:p w14:paraId="44BEBA14" w14:textId="77777777" w:rsidR="00F120A8" w:rsidRPr="00F120A8" w:rsidRDefault="00F120A8" w:rsidP="00F120A8">
            <w:pPr>
              <w:jc w:val="right"/>
              <w:rPr>
                <w:rFonts w:eastAsia="Times New Roman"/>
                <w:color w:val="000000"/>
              </w:rPr>
            </w:pPr>
          </w:p>
        </w:tc>
        <w:tc>
          <w:tcPr>
            <w:tcW w:w="910" w:type="dxa"/>
            <w:tcBorders>
              <w:top w:val="nil"/>
              <w:left w:val="nil"/>
              <w:bottom w:val="nil"/>
              <w:right w:val="nil"/>
            </w:tcBorders>
            <w:shd w:val="clear" w:color="auto" w:fill="auto"/>
            <w:noWrap/>
            <w:vAlign w:val="center"/>
            <w:hideMark/>
          </w:tcPr>
          <w:p w14:paraId="63F56FE6" w14:textId="77777777" w:rsidR="00F120A8" w:rsidRPr="00F120A8" w:rsidRDefault="00F120A8" w:rsidP="00F120A8">
            <w:pPr>
              <w:jc w:val="right"/>
              <w:rPr>
                <w:rFonts w:eastAsia="Times New Roman"/>
                <w:color w:val="000000"/>
              </w:rPr>
            </w:pPr>
            <w:r w:rsidRPr="00F120A8">
              <w:rPr>
                <w:rFonts w:eastAsia="Times New Roman"/>
                <w:color w:val="000000"/>
              </w:rPr>
              <w:t>30.0</w:t>
            </w:r>
          </w:p>
        </w:tc>
        <w:tc>
          <w:tcPr>
            <w:tcW w:w="440" w:type="dxa"/>
            <w:tcBorders>
              <w:top w:val="nil"/>
              <w:left w:val="nil"/>
              <w:bottom w:val="nil"/>
              <w:right w:val="nil"/>
            </w:tcBorders>
            <w:shd w:val="clear" w:color="auto" w:fill="auto"/>
            <w:noWrap/>
            <w:vAlign w:val="center"/>
            <w:hideMark/>
          </w:tcPr>
          <w:p w14:paraId="59D2B434" w14:textId="77777777" w:rsidR="00F120A8" w:rsidRPr="00F120A8" w:rsidRDefault="00F120A8" w:rsidP="00F120A8">
            <w:pPr>
              <w:jc w:val="right"/>
              <w:rPr>
                <w:rFonts w:eastAsia="Times New Roman"/>
                <w:color w:val="000000"/>
              </w:rPr>
            </w:pPr>
          </w:p>
        </w:tc>
        <w:tc>
          <w:tcPr>
            <w:tcW w:w="760" w:type="dxa"/>
            <w:tcBorders>
              <w:top w:val="nil"/>
              <w:left w:val="nil"/>
              <w:bottom w:val="nil"/>
              <w:right w:val="nil"/>
            </w:tcBorders>
            <w:shd w:val="clear" w:color="auto" w:fill="auto"/>
            <w:noWrap/>
            <w:vAlign w:val="center"/>
            <w:hideMark/>
          </w:tcPr>
          <w:p w14:paraId="03580D14" w14:textId="77777777" w:rsidR="00F120A8" w:rsidRPr="00F120A8" w:rsidRDefault="00F120A8" w:rsidP="00F120A8">
            <w:pPr>
              <w:jc w:val="right"/>
              <w:rPr>
                <w:rFonts w:eastAsia="Times New Roman"/>
                <w:color w:val="000000"/>
              </w:rPr>
            </w:pPr>
            <w:r w:rsidRPr="00F120A8">
              <w:rPr>
                <w:rFonts w:eastAsia="Times New Roman"/>
                <w:color w:val="000000"/>
              </w:rPr>
              <w:t>27.4</w:t>
            </w:r>
          </w:p>
        </w:tc>
        <w:tc>
          <w:tcPr>
            <w:tcW w:w="236" w:type="dxa"/>
            <w:tcBorders>
              <w:top w:val="nil"/>
              <w:left w:val="nil"/>
              <w:bottom w:val="nil"/>
              <w:right w:val="nil"/>
            </w:tcBorders>
            <w:shd w:val="clear" w:color="auto" w:fill="auto"/>
            <w:noWrap/>
            <w:vAlign w:val="bottom"/>
            <w:hideMark/>
          </w:tcPr>
          <w:p w14:paraId="63FA781A" w14:textId="77777777" w:rsidR="00F120A8" w:rsidRPr="00F120A8" w:rsidRDefault="00F120A8" w:rsidP="00F120A8">
            <w:pPr>
              <w:jc w:val="right"/>
              <w:rPr>
                <w:rFonts w:eastAsia="Times New Roman"/>
                <w:color w:val="000000"/>
              </w:rPr>
            </w:pPr>
          </w:p>
        </w:tc>
      </w:tr>
      <w:tr w:rsidR="00F120A8" w:rsidRPr="00F120A8" w14:paraId="2D53DBCF" w14:textId="77777777" w:rsidTr="00F3793E">
        <w:trPr>
          <w:trHeight w:val="310"/>
        </w:trPr>
        <w:tc>
          <w:tcPr>
            <w:tcW w:w="1620" w:type="dxa"/>
            <w:tcBorders>
              <w:top w:val="nil"/>
              <w:left w:val="nil"/>
              <w:bottom w:val="nil"/>
              <w:right w:val="nil"/>
            </w:tcBorders>
            <w:shd w:val="clear" w:color="auto" w:fill="auto"/>
            <w:noWrap/>
            <w:vAlign w:val="center"/>
            <w:hideMark/>
          </w:tcPr>
          <w:p w14:paraId="6322AB03" w14:textId="77777777" w:rsidR="00F120A8" w:rsidRPr="00F120A8" w:rsidRDefault="00F120A8" w:rsidP="00F120A8">
            <w:pPr>
              <w:jc w:val="left"/>
              <w:rPr>
                <w:rFonts w:eastAsia="Times New Roman"/>
                <w:color w:val="000000"/>
              </w:rPr>
            </w:pPr>
            <w:r w:rsidRPr="00F120A8">
              <w:rPr>
                <w:rFonts w:eastAsia="Times New Roman"/>
                <w:color w:val="000000"/>
              </w:rPr>
              <w:t>MMR</w:t>
            </w:r>
          </w:p>
        </w:tc>
        <w:tc>
          <w:tcPr>
            <w:tcW w:w="960" w:type="dxa"/>
            <w:tcBorders>
              <w:top w:val="nil"/>
              <w:left w:val="nil"/>
              <w:bottom w:val="nil"/>
              <w:right w:val="nil"/>
            </w:tcBorders>
            <w:shd w:val="clear" w:color="auto" w:fill="auto"/>
            <w:noWrap/>
            <w:vAlign w:val="center"/>
            <w:hideMark/>
          </w:tcPr>
          <w:p w14:paraId="440777C5" w14:textId="56E4EBAD" w:rsidR="00F120A8" w:rsidRPr="00F120A8" w:rsidRDefault="00F120A8" w:rsidP="00F120A8">
            <w:pPr>
              <w:jc w:val="right"/>
              <w:rPr>
                <w:rFonts w:eastAsia="Times New Roman"/>
                <w:color w:val="000000"/>
              </w:rPr>
            </w:pPr>
            <w:r w:rsidRPr="00F120A8">
              <w:rPr>
                <w:rFonts w:eastAsia="Times New Roman"/>
                <w:color w:val="000000"/>
              </w:rPr>
              <w:t>8</w:t>
            </w:r>
          </w:p>
        </w:tc>
        <w:tc>
          <w:tcPr>
            <w:tcW w:w="480" w:type="dxa"/>
            <w:tcBorders>
              <w:top w:val="nil"/>
              <w:left w:val="nil"/>
              <w:bottom w:val="nil"/>
              <w:right w:val="nil"/>
            </w:tcBorders>
            <w:shd w:val="clear" w:color="auto" w:fill="auto"/>
            <w:noWrap/>
            <w:vAlign w:val="center"/>
            <w:hideMark/>
          </w:tcPr>
          <w:p w14:paraId="6D8A86B2" w14:textId="77777777" w:rsidR="00F120A8" w:rsidRPr="00F120A8" w:rsidRDefault="00F120A8" w:rsidP="00F120A8">
            <w:pPr>
              <w:jc w:val="right"/>
              <w:rPr>
                <w:rFonts w:eastAsia="Times New Roman"/>
                <w:color w:val="000000"/>
              </w:rPr>
            </w:pPr>
          </w:p>
        </w:tc>
        <w:tc>
          <w:tcPr>
            <w:tcW w:w="1350" w:type="dxa"/>
            <w:tcBorders>
              <w:top w:val="nil"/>
              <w:left w:val="nil"/>
              <w:bottom w:val="nil"/>
              <w:right w:val="nil"/>
            </w:tcBorders>
            <w:shd w:val="clear" w:color="auto" w:fill="auto"/>
            <w:noWrap/>
            <w:vAlign w:val="center"/>
            <w:hideMark/>
          </w:tcPr>
          <w:p w14:paraId="765E5B76" w14:textId="34B233CE" w:rsidR="00F120A8" w:rsidRPr="00F120A8" w:rsidRDefault="00F120A8" w:rsidP="00F120A8">
            <w:pPr>
              <w:jc w:val="right"/>
              <w:rPr>
                <w:rFonts w:eastAsia="Times New Roman"/>
                <w:color w:val="000000"/>
              </w:rPr>
            </w:pPr>
            <w:r w:rsidRPr="00F120A8">
              <w:rPr>
                <w:rFonts w:eastAsia="Times New Roman"/>
                <w:color w:val="000000"/>
              </w:rPr>
              <w:t>6</w:t>
            </w:r>
          </w:p>
        </w:tc>
        <w:tc>
          <w:tcPr>
            <w:tcW w:w="900" w:type="dxa"/>
            <w:tcBorders>
              <w:top w:val="nil"/>
              <w:left w:val="nil"/>
              <w:bottom w:val="nil"/>
              <w:right w:val="nil"/>
            </w:tcBorders>
            <w:shd w:val="clear" w:color="auto" w:fill="auto"/>
            <w:noWrap/>
            <w:vAlign w:val="center"/>
            <w:hideMark/>
          </w:tcPr>
          <w:p w14:paraId="1CE7C75D" w14:textId="77777777" w:rsidR="00F120A8" w:rsidRPr="00F120A8" w:rsidRDefault="00F120A8" w:rsidP="00F120A8">
            <w:pPr>
              <w:jc w:val="right"/>
              <w:rPr>
                <w:rFonts w:eastAsia="Times New Roman"/>
                <w:color w:val="000000"/>
              </w:rPr>
            </w:pPr>
          </w:p>
        </w:tc>
        <w:tc>
          <w:tcPr>
            <w:tcW w:w="910" w:type="dxa"/>
            <w:tcBorders>
              <w:top w:val="nil"/>
              <w:left w:val="nil"/>
              <w:bottom w:val="nil"/>
              <w:right w:val="nil"/>
            </w:tcBorders>
            <w:shd w:val="clear" w:color="auto" w:fill="auto"/>
            <w:noWrap/>
            <w:vAlign w:val="center"/>
            <w:hideMark/>
          </w:tcPr>
          <w:p w14:paraId="02D7FA41" w14:textId="77777777" w:rsidR="00F120A8" w:rsidRPr="00F120A8" w:rsidRDefault="00F120A8" w:rsidP="00F120A8">
            <w:pPr>
              <w:jc w:val="right"/>
              <w:rPr>
                <w:rFonts w:eastAsia="Times New Roman"/>
                <w:color w:val="000000"/>
              </w:rPr>
            </w:pPr>
            <w:r w:rsidRPr="00F120A8">
              <w:rPr>
                <w:rFonts w:eastAsia="Times New Roman"/>
                <w:color w:val="000000"/>
              </w:rPr>
              <w:t>7.8</w:t>
            </w:r>
          </w:p>
        </w:tc>
        <w:tc>
          <w:tcPr>
            <w:tcW w:w="440" w:type="dxa"/>
            <w:tcBorders>
              <w:top w:val="nil"/>
              <w:left w:val="nil"/>
              <w:bottom w:val="nil"/>
              <w:right w:val="nil"/>
            </w:tcBorders>
            <w:shd w:val="clear" w:color="auto" w:fill="auto"/>
            <w:noWrap/>
            <w:vAlign w:val="center"/>
            <w:hideMark/>
          </w:tcPr>
          <w:p w14:paraId="32A83D52" w14:textId="77777777" w:rsidR="00F120A8" w:rsidRPr="00F120A8" w:rsidRDefault="00F120A8" w:rsidP="00F120A8">
            <w:pPr>
              <w:jc w:val="right"/>
              <w:rPr>
                <w:rFonts w:eastAsia="Times New Roman"/>
                <w:color w:val="000000"/>
              </w:rPr>
            </w:pPr>
          </w:p>
        </w:tc>
        <w:tc>
          <w:tcPr>
            <w:tcW w:w="760" w:type="dxa"/>
            <w:tcBorders>
              <w:top w:val="nil"/>
              <w:left w:val="nil"/>
              <w:bottom w:val="nil"/>
              <w:right w:val="nil"/>
            </w:tcBorders>
            <w:shd w:val="clear" w:color="auto" w:fill="auto"/>
            <w:noWrap/>
            <w:vAlign w:val="center"/>
            <w:hideMark/>
          </w:tcPr>
          <w:p w14:paraId="7B4544FC" w14:textId="77777777" w:rsidR="00F120A8" w:rsidRPr="00F120A8" w:rsidRDefault="00F120A8" w:rsidP="00F120A8">
            <w:pPr>
              <w:jc w:val="right"/>
              <w:rPr>
                <w:rFonts w:eastAsia="Times New Roman"/>
                <w:color w:val="000000"/>
              </w:rPr>
            </w:pPr>
            <w:r w:rsidRPr="00F120A8">
              <w:rPr>
                <w:rFonts w:eastAsia="Times New Roman"/>
                <w:color w:val="000000"/>
              </w:rPr>
              <w:t>9.7</w:t>
            </w:r>
          </w:p>
        </w:tc>
        <w:tc>
          <w:tcPr>
            <w:tcW w:w="236" w:type="dxa"/>
            <w:tcBorders>
              <w:top w:val="nil"/>
              <w:left w:val="nil"/>
              <w:bottom w:val="nil"/>
              <w:right w:val="nil"/>
            </w:tcBorders>
            <w:shd w:val="clear" w:color="auto" w:fill="auto"/>
            <w:noWrap/>
            <w:vAlign w:val="bottom"/>
            <w:hideMark/>
          </w:tcPr>
          <w:p w14:paraId="2B74725B" w14:textId="77777777" w:rsidR="00F120A8" w:rsidRPr="00F120A8" w:rsidRDefault="00F120A8" w:rsidP="00F120A8">
            <w:pPr>
              <w:jc w:val="right"/>
              <w:rPr>
                <w:rFonts w:eastAsia="Times New Roman"/>
                <w:color w:val="000000"/>
              </w:rPr>
            </w:pPr>
          </w:p>
        </w:tc>
      </w:tr>
      <w:tr w:rsidR="00F120A8" w:rsidRPr="00F120A8" w14:paraId="436D46BE" w14:textId="77777777" w:rsidTr="00F3793E">
        <w:trPr>
          <w:trHeight w:val="310"/>
        </w:trPr>
        <w:tc>
          <w:tcPr>
            <w:tcW w:w="1620" w:type="dxa"/>
            <w:tcBorders>
              <w:top w:val="nil"/>
              <w:left w:val="nil"/>
              <w:bottom w:val="nil"/>
              <w:right w:val="nil"/>
            </w:tcBorders>
            <w:shd w:val="clear" w:color="auto" w:fill="auto"/>
            <w:noWrap/>
            <w:vAlign w:val="center"/>
            <w:hideMark/>
          </w:tcPr>
          <w:p w14:paraId="05246A5F" w14:textId="77777777" w:rsidR="00F120A8" w:rsidRPr="00F120A8" w:rsidRDefault="00F120A8" w:rsidP="00F120A8">
            <w:pPr>
              <w:jc w:val="left"/>
              <w:rPr>
                <w:rFonts w:eastAsia="Times New Roman"/>
                <w:color w:val="000000"/>
              </w:rPr>
            </w:pPr>
            <w:r w:rsidRPr="00F120A8">
              <w:rPr>
                <w:rFonts w:eastAsia="Times New Roman"/>
                <w:color w:val="000000"/>
              </w:rPr>
              <w:t>MMRV</w:t>
            </w:r>
          </w:p>
        </w:tc>
        <w:tc>
          <w:tcPr>
            <w:tcW w:w="960" w:type="dxa"/>
            <w:tcBorders>
              <w:top w:val="nil"/>
              <w:left w:val="nil"/>
              <w:bottom w:val="nil"/>
              <w:right w:val="nil"/>
            </w:tcBorders>
            <w:shd w:val="clear" w:color="auto" w:fill="auto"/>
            <w:noWrap/>
            <w:vAlign w:val="center"/>
            <w:hideMark/>
          </w:tcPr>
          <w:p w14:paraId="61116DA4" w14:textId="6C37BA1D" w:rsidR="00F120A8" w:rsidRPr="00F120A8" w:rsidRDefault="00F120A8" w:rsidP="00F120A8">
            <w:pPr>
              <w:jc w:val="right"/>
              <w:rPr>
                <w:rFonts w:eastAsia="Times New Roman"/>
                <w:color w:val="000000"/>
              </w:rPr>
            </w:pPr>
            <w:r w:rsidRPr="00F120A8">
              <w:rPr>
                <w:rFonts w:eastAsia="Times New Roman"/>
                <w:color w:val="000000"/>
              </w:rPr>
              <w:t>6</w:t>
            </w:r>
          </w:p>
        </w:tc>
        <w:tc>
          <w:tcPr>
            <w:tcW w:w="480" w:type="dxa"/>
            <w:tcBorders>
              <w:top w:val="nil"/>
              <w:left w:val="nil"/>
              <w:bottom w:val="nil"/>
              <w:right w:val="nil"/>
            </w:tcBorders>
            <w:shd w:val="clear" w:color="auto" w:fill="auto"/>
            <w:noWrap/>
            <w:vAlign w:val="center"/>
            <w:hideMark/>
          </w:tcPr>
          <w:p w14:paraId="74A81014" w14:textId="77777777" w:rsidR="00F120A8" w:rsidRPr="00F120A8" w:rsidRDefault="00F120A8" w:rsidP="00F120A8">
            <w:pPr>
              <w:jc w:val="right"/>
              <w:rPr>
                <w:rFonts w:eastAsia="Times New Roman"/>
                <w:color w:val="000000"/>
              </w:rPr>
            </w:pPr>
          </w:p>
        </w:tc>
        <w:tc>
          <w:tcPr>
            <w:tcW w:w="1350" w:type="dxa"/>
            <w:tcBorders>
              <w:top w:val="nil"/>
              <w:left w:val="nil"/>
              <w:bottom w:val="nil"/>
              <w:right w:val="nil"/>
            </w:tcBorders>
            <w:shd w:val="clear" w:color="auto" w:fill="auto"/>
            <w:noWrap/>
            <w:vAlign w:val="center"/>
            <w:hideMark/>
          </w:tcPr>
          <w:p w14:paraId="6E7DD7DB" w14:textId="7BC2AF87" w:rsidR="00F120A8" w:rsidRPr="00F120A8" w:rsidRDefault="00F120A8" w:rsidP="00F120A8">
            <w:pPr>
              <w:jc w:val="right"/>
              <w:rPr>
                <w:rFonts w:eastAsia="Times New Roman"/>
                <w:color w:val="000000"/>
              </w:rPr>
            </w:pPr>
            <w:r w:rsidRPr="00F120A8">
              <w:rPr>
                <w:rFonts w:eastAsia="Times New Roman"/>
                <w:color w:val="000000"/>
              </w:rPr>
              <w:t>4</w:t>
            </w:r>
          </w:p>
        </w:tc>
        <w:tc>
          <w:tcPr>
            <w:tcW w:w="900" w:type="dxa"/>
            <w:tcBorders>
              <w:top w:val="nil"/>
              <w:left w:val="nil"/>
              <w:bottom w:val="nil"/>
              <w:right w:val="nil"/>
            </w:tcBorders>
            <w:shd w:val="clear" w:color="auto" w:fill="auto"/>
            <w:noWrap/>
            <w:vAlign w:val="center"/>
            <w:hideMark/>
          </w:tcPr>
          <w:p w14:paraId="6CCEF1DB" w14:textId="77777777" w:rsidR="00F120A8" w:rsidRPr="00F120A8" w:rsidRDefault="00F120A8" w:rsidP="00F120A8">
            <w:pPr>
              <w:jc w:val="right"/>
              <w:rPr>
                <w:rFonts w:eastAsia="Times New Roman"/>
                <w:color w:val="000000"/>
              </w:rPr>
            </w:pPr>
          </w:p>
        </w:tc>
        <w:tc>
          <w:tcPr>
            <w:tcW w:w="910" w:type="dxa"/>
            <w:tcBorders>
              <w:top w:val="nil"/>
              <w:left w:val="nil"/>
              <w:bottom w:val="nil"/>
              <w:right w:val="nil"/>
            </w:tcBorders>
            <w:shd w:val="clear" w:color="auto" w:fill="auto"/>
            <w:noWrap/>
            <w:vAlign w:val="center"/>
            <w:hideMark/>
          </w:tcPr>
          <w:p w14:paraId="5A213DCB" w14:textId="77777777" w:rsidR="00F120A8" w:rsidRPr="00F120A8" w:rsidRDefault="00F120A8" w:rsidP="00F120A8">
            <w:pPr>
              <w:jc w:val="right"/>
              <w:rPr>
                <w:rFonts w:eastAsia="Times New Roman"/>
                <w:color w:val="000000"/>
              </w:rPr>
            </w:pPr>
            <w:r w:rsidRPr="00F120A8">
              <w:rPr>
                <w:rFonts w:eastAsia="Times New Roman"/>
                <w:color w:val="000000"/>
              </w:rPr>
              <w:t>5.0</w:t>
            </w:r>
          </w:p>
        </w:tc>
        <w:tc>
          <w:tcPr>
            <w:tcW w:w="440" w:type="dxa"/>
            <w:tcBorders>
              <w:top w:val="nil"/>
              <w:left w:val="nil"/>
              <w:bottom w:val="nil"/>
              <w:right w:val="nil"/>
            </w:tcBorders>
            <w:shd w:val="clear" w:color="auto" w:fill="auto"/>
            <w:noWrap/>
            <w:vAlign w:val="center"/>
            <w:hideMark/>
          </w:tcPr>
          <w:p w14:paraId="484C697D" w14:textId="77777777" w:rsidR="00F120A8" w:rsidRPr="00F120A8" w:rsidRDefault="00F120A8" w:rsidP="00F120A8">
            <w:pPr>
              <w:jc w:val="right"/>
              <w:rPr>
                <w:rFonts w:eastAsia="Times New Roman"/>
                <w:color w:val="000000"/>
              </w:rPr>
            </w:pPr>
          </w:p>
        </w:tc>
        <w:tc>
          <w:tcPr>
            <w:tcW w:w="760" w:type="dxa"/>
            <w:tcBorders>
              <w:top w:val="nil"/>
              <w:left w:val="nil"/>
              <w:bottom w:val="nil"/>
              <w:right w:val="nil"/>
            </w:tcBorders>
            <w:shd w:val="clear" w:color="auto" w:fill="auto"/>
            <w:noWrap/>
            <w:vAlign w:val="center"/>
            <w:hideMark/>
          </w:tcPr>
          <w:p w14:paraId="3677CAF6" w14:textId="77777777" w:rsidR="00F120A8" w:rsidRPr="00F120A8" w:rsidRDefault="00F120A8" w:rsidP="00F120A8">
            <w:pPr>
              <w:jc w:val="right"/>
              <w:rPr>
                <w:rFonts w:eastAsia="Times New Roman"/>
                <w:color w:val="000000"/>
              </w:rPr>
            </w:pPr>
            <w:r w:rsidRPr="00F120A8">
              <w:rPr>
                <w:rFonts w:eastAsia="Times New Roman"/>
                <w:color w:val="000000"/>
              </w:rPr>
              <w:t>7.7</w:t>
            </w:r>
          </w:p>
        </w:tc>
        <w:tc>
          <w:tcPr>
            <w:tcW w:w="236" w:type="dxa"/>
            <w:tcBorders>
              <w:top w:val="nil"/>
              <w:left w:val="nil"/>
              <w:bottom w:val="nil"/>
              <w:right w:val="nil"/>
            </w:tcBorders>
            <w:shd w:val="clear" w:color="auto" w:fill="auto"/>
            <w:noWrap/>
            <w:vAlign w:val="bottom"/>
            <w:hideMark/>
          </w:tcPr>
          <w:p w14:paraId="2CB1FE15" w14:textId="77777777" w:rsidR="00F120A8" w:rsidRPr="00F120A8" w:rsidRDefault="00F120A8" w:rsidP="00F120A8">
            <w:pPr>
              <w:jc w:val="right"/>
              <w:rPr>
                <w:rFonts w:eastAsia="Times New Roman"/>
                <w:color w:val="000000"/>
              </w:rPr>
            </w:pPr>
          </w:p>
        </w:tc>
      </w:tr>
      <w:tr w:rsidR="00F120A8" w:rsidRPr="00F120A8" w14:paraId="5A235A50" w14:textId="77777777" w:rsidTr="00F3793E">
        <w:trPr>
          <w:trHeight w:val="310"/>
        </w:trPr>
        <w:tc>
          <w:tcPr>
            <w:tcW w:w="1620" w:type="dxa"/>
            <w:tcBorders>
              <w:top w:val="nil"/>
              <w:left w:val="nil"/>
              <w:bottom w:val="nil"/>
              <w:right w:val="nil"/>
            </w:tcBorders>
            <w:shd w:val="clear" w:color="auto" w:fill="auto"/>
            <w:noWrap/>
            <w:vAlign w:val="center"/>
            <w:hideMark/>
          </w:tcPr>
          <w:p w14:paraId="523FBC11" w14:textId="77777777" w:rsidR="00F120A8" w:rsidRPr="00F120A8" w:rsidRDefault="00F120A8" w:rsidP="00F120A8">
            <w:pPr>
              <w:jc w:val="left"/>
              <w:rPr>
                <w:rFonts w:eastAsia="Times New Roman"/>
                <w:color w:val="000000"/>
              </w:rPr>
            </w:pPr>
            <w:r w:rsidRPr="00F120A8">
              <w:rPr>
                <w:rFonts w:eastAsia="Times New Roman"/>
                <w:color w:val="000000"/>
              </w:rPr>
              <w:t>PCV13</w:t>
            </w:r>
          </w:p>
        </w:tc>
        <w:tc>
          <w:tcPr>
            <w:tcW w:w="960" w:type="dxa"/>
            <w:tcBorders>
              <w:top w:val="nil"/>
              <w:left w:val="nil"/>
              <w:bottom w:val="nil"/>
              <w:right w:val="nil"/>
            </w:tcBorders>
            <w:shd w:val="clear" w:color="auto" w:fill="auto"/>
            <w:noWrap/>
            <w:vAlign w:val="center"/>
            <w:hideMark/>
          </w:tcPr>
          <w:p w14:paraId="721EB83B" w14:textId="53C79724" w:rsidR="00F120A8" w:rsidRPr="00F120A8" w:rsidRDefault="00F120A8" w:rsidP="00F120A8">
            <w:pPr>
              <w:jc w:val="right"/>
              <w:rPr>
                <w:rFonts w:eastAsia="Times New Roman"/>
                <w:color w:val="000000"/>
              </w:rPr>
            </w:pPr>
            <w:r w:rsidRPr="00F120A8">
              <w:rPr>
                <w:rFonts w:eastAsia="Times New Roman"/>
                <w:color w:val="000000"/>
              </w:rPr>
              <w:t>5</w:t>
            </w:r>
          </w:p>
        </w:tc>
        <w:tc>
          <w:tcPr>
            <w:tcW w:w="480" w:type="dxa"/>
            <w:tcBorders>
              <w:top w:val="nil"/>
              <w:left w:val="nil"/>
              <w:bottom w:val="nil"/>
              <w:right w:val="nil"/>
            </w:tcBorders>
            <w:shd w:val="clear" w:color="auto" w:fill="auto"/>
            <w:noWrap/>
            <w:vAlign w:val="center"/>
            <w:hideMark/>
          </w:tcPr>
          <w:p w14:paraId="1F8EAA65" w14:textId="77777777" w:rsidR="00F120A8" w:rsidRPr="00F120A8" w:rsidRDefault="00F120A8" w:rsidP="00F120A8">
            <w:pPr>
              <w:jc w:val="right"/>
              <w:rPr>
                <w:rFonts w:eastAsia="Times New Roman"/>
                <w:color w:val="000000"/>
              </w:rPr>
            </w:pPr>
          </w:p>
        </w:tc>
        <w:tc>
          <w:tcPr>
            <w:tcW w:w="1350" w:type="dxa"/>
            <w:tcBorders>
              <w:top w:val="nil"/>
              <w:left w:val="nil"/>
              <w:bottom w:val="nil"/>
              <w:right w:val="nil"/>
            </w:tcBorders>
            <w:shd w:val="clear" w:color="auto" w:fill="auto"/>
            <w:noWrap/>
            <w:vAlign w:val="center"/>
            <w:hideMark/>
          </w:tcPr>
          <w:p w14:paraId="3F2B9B04" w14:textId="6C35B1D2" w:rsidR="00F120A8" w:rsidRPr="00F120A8" w:rsidRDefault="00F120A8" w:rsidP="00F120A8">
            <w:pPr>
              <w:jc w:val="right"/>
              <w:rPr>
                <w:rFonts w:eastAsia="Times New Roman"/>
                <w:color w:val="000000"/>
              </w:rPr>
            </w:pPr>
            <w:r w:rsidRPr="00F120A8">
              <w:rPr>
                <w:rFonts w:eastAsia="Times New Roman"/>
                <w:color w:val="000000"/>
              </w:rPr>
              <w:t>4</w:t>
            </w:r>
          </w:p>
        </w:tc>
        <w:tc>
          <w:tcPr>
            <w:tcW w:w="900" w:type="dxa"/>
            <w:tcBorders>
              <w:top w:val="nil"/>
              <w:left w:val="nil"/>
              <w:bottom w:val="nil"/>
              <w:right w:val="nil"/>
            </w:tcBorders>
            <w:shd w:val="clear" w:color="auto" w:fill="auto"/>
            <w:noWrap/>
            <w:vAlign w:val="center"/>
            <w:hideMark/>
          </w:tcPr>
          <w:p w14:paraId="06E6B662" w14:textId="77777777" w:rsidR="00F120A8" w:rsidRPr="00F120A8" w:rsidRDefault="00F120A8" w:rsidP="00F120A8">
            <w:pPr>
              <w:jc w:val="right"/>
              <w:rPr>
                <w:rFonts w:eastAsia="Times New Roman"/>
                <w:color w:val="000000"/>
              </w:rPr>
            </w:pPr>
          </w:p>
        </w:tc>
        <w:tc>
          <w:tcPr>
            <w:tcW w:w="910" w:type="dxa"/>
            <w:tcBorders>
              <w:top w:val="nil"/>
              <w:left w:val="nil"/>
              <w:bottom w:val="nil"/>
              <w:right w:val="nil"/>
            </w:tcBorders>
            <w:shd w:val="clear" w:color="auto" w:fill="auto"/>
            <w:noWrap/>
            <w:vAlign w:val="center"/>
            <w:hideMark/>
          </w:tcPr>
          <w:p w14:paraId="5BEF7D7B" w14:textId="77777777" w:rsidR="00F120A8" w:rsidRPr="00F120A8" w:rsidRDefault="00F120A8" w:rsidP="00F120A8">
            <w:pPr>
              <w:jc w:val="right"/>
              <w:rPr>
                <w:rFonts w:eastAsia="Times New Roman"/>
                <w:color w:val="000000"/>
              </w:rPr>
            </w:pPr>
            <w:r w:rsidRPr="00F120A8">
              <w:rPr>
                <w:rFonts w:eastAsia="Times New Roman"/>
                <w:color w:val="000000"/>
              </w:rPr>
              <w:t>40.3</w:t>
            </w:r>
          </w:p>
        </w:tc>
        <w:tc>
          <w:tcPr>
            <w:tcW w:w="440" w:type="dxa"/>
            <w:tcBorders>
              <w:top w:val="nil"/>
              <w:left w:val="nil"/>
              <w:bottom w:val="nil"/>
              <w:right w:val="nil"/>
            </w:tcBorders>
            <w:shd w:val="clear" w:color="auto" w:fill="auto"/>
            <w:noWrap/>
            <w:vAlign w:val="center"/>
            <w:hideMark/>
          </w:tcPr>
          <w:p w14:paraId="0DADB426" w14:textId="77777777" w:rsidR="00F120A8" w:rsidRPr="00F120A8" w:rsidRDefault="00F120A8" w:rsidP="00F120A8">
            <w:pPr>
              <w:jc w:val="right"/>
              <w:rPr>
                <w:rFonts w:eastAsia="Times New Roman"/>
                <w:color w:val="000000"/>
              </w:rPr>
            </w:pPr>
          </w:p>
        </w:tc>
        <w:tc>
          <w:tcPr>
            <w:tcW w:w="760" w:type="dxa"/>
            <w:tcBorders>
              <w:top w:val="nil"/>
              <w:left w:val="nil"/>
              <w:bottom w:val="nil"/>
              <w:right w:val="nil"/>
            </w:tcBorders>
            <w:shd w:val="clear" w:color="auto" w:fill="auto"/>
            <w:noWrap/>
            <w:vAlign w:val="center"/>
            <w:hideMark/>
          </w:tcPr>
          <w:p w14:paraId="5BE4CED3" w14:textId="77777777" w:rsidR="00F120A8" w:rsidRPr="00F120A8" w:rsidRDefault="00F120A8" w:rsidP="00F120A8">
            <w:pPr>
              <w:jc w:val="right"/>
              <w:rPr>
                <w:rFonts w:eastAsia="Times New Roman"/>
                <w:color w:val="000000"/>
              </w:rPr>
            </w:pPr>
            <w:r w:rsidRPr="00F120A8">
              <w:rPr>
                <w:rFonts w:eastAsia="Times New Roman"/>
                <w:color w:val="000000"/>
              </w:rPr>
              <w:t>24.6</w:t>
            </w:r>
          </w:p>
        </w:tc>
        <w:tc>
          <w:tcPr>
            <w:tcW w:w="236" w:type="dxa"/>
            <w:tcBorders>
              <w:top w:val="nil"/>
              <w:left w:val="nil"/>
              <w:bottom w:val="nil"/>
              <w:right w:val="nil"/>
            </w:tcBorders>
            <w:shd w:val="clear" w:color="auto" w:fill="auto"/>
            <w:noWrap/>
            <w:vAlign w:val="bottom"/>
            <w:hideMark/>
          </w:tcPr>
          <w:p w14:paraId="73DF5741" w14:textId="77777777" w:rsidR="00F120A8" w:rsidRPr="00F120A8" w:rsidRDefault="00F120A8" w:rsidP="00F120A8">
            <w:pPr>
              <w:jc w:val="right"/>
              <w:rPr>
                <w:rFonts w:eastAsia="Times New Roman"/>
                <w:color w:val="000000"/>
              </w:rPr>
            </w:pPr>
          </w:p>
        </w:tc>
      </w:tr>
      <w:tr w:rsidR="00F120A8" w:rsidRPr="00F120A8" w14:paraId="3967DC28" w14:textId="77777777" w:rsidTr="00F3793E">
        <w:trPr>
          <w:trHeight w:val="310"/>
        </w:trPr>
        <w:tc>
          <w:tcPr>
            <w:tcW w:w="1620" w:type="dxa"/>
            <w:tcBorders>
              <w:top w:val="nil"/>
              <w:left w:val="nil"/>
              <w:bottom w:val="nil"/>
              <w:right w:val="nil"/>
            </w:tcBorders>
            <w:shd w:val="clear" w:color="auto" w:fill="auto"/>
            <w:noWrap/>
            <w:vAlign w:val="center"/>
            <w:hideMark/>
          </w:tcPr>
          <w:p w14:paraId="194C9917" w14:textId="77777777" w:rsidR="00F120A8" w:rsidRPr="00F120A8" w:rsidRDefault="00F120A8" w:rsidP="00F120A8">
            <w:pPr>
              <w:jc w:val="left"/>
              <w:rPr>
                <w:rFonts w:eastAsia="Times New Roman"/>
                <w:color w:val="000000"/>
              </w:rPr>
            </w:pPr>
            <w:r w:rsidRPr="00F120A8">
              <w:rPr>
                <w:rFonts w:eastAsia="Times New Roman"/>
                <w:color w:val="000000"/>
              </w:rPr>
              <w:t>RV</w:t>
            </w:r>
          </w:p>
        </w:tc>
        <w:tc>
          <w:tcPr>
            <w:tcW w:w="960" w:type="dxa"/>
            <w:tcBorders>
              <w:top w:val="nil"/>
              <w:left w:val="nil"/>
              <w:bottom w:val="nil"/>
              <w:right w:val="nil"/>
            </w:tcBorders>
            <w:shd w:val="clear" w:color="auto" w:fill="auto"/>
            <w:noWrap/>
            <w:vAlign w:val="center"/>
            <w:hideMark/>
          </w:tcPr>
          <w:p w14:paraId="2A99BBA8" w14:textId="3F198D48" w:rsidR="00F120A8" w:rsidRPr="00F120A8" w:rsidRDefault="00F120A8" w:rsidP="00F120A8">
            <w:pPr>
              <w:jc w:val="right"/>
              <w:rPr>
                <w:rFonts w:eastAsia="Times New Roman"/>
                <w:color w:val="000000"/>
              </w:rPr>
            </w:pPr>
            <w:r w:rsidRPr="00F120A8">
              <w:rPr>
                <w:rFonts w:eastAsia="Times New Roman"/>
                <w:color w:val="000000"/>
              </w:rPr>
              <w:t>3</w:t>
            </w:r>
          </w:p>
        </w:tc>
        <w:tc>
          <w:tcPr>
            <w:tcW w:w="480" w:type="dxa"/>
            <w:tcBorders>
              <w:top w:val="nil"/>
              <w:left w:val="nil"/>
              <w:bottom w:val="nil"/>
              <w:right w:val="nil"/>
            </w:tcBorders>
            <w:shd w:val="clear" w:color="auto" w:fill="auto"/>
            <w:noWrap/>
            <w:vAlign w:val="center"/>
            <w:hideMark/>
          </w:tcPr>
          <w:p w14:paraId="66C0EDA0" w14:textId="77777777" w:rsidR="00F120A8" w:rsidRPr="00F120A8" w:rsidRDefault="00F120A8" w:rsidP="00F120A8">
            <w:pPr>
              <w:jc w:val="right"/>
              <w:rPr>
                <w:rFonts w:eastAsia="Times New Roman"/>
                <w:color w:val="000000"/>
              </w:rPr>
            </w:pPr>
          </w:p>
        </w:tc>
        <w:tc>
          <w:tcPr>
            <w:tcW w:w="1350" w:type="dxa"/>
            <w:tcBorders>
              <w:top w:val="nil"/>
              <w:left w:val="nil"/>
              <w:bottom w:val="nil"/>
              <w:right w:val="nil"/>
            </w:tcBorders>
            <w:shd w:val="clear" w:color="auto" w:fill="auto"/>
            <w:noWrap/>
            <w:vAlign w:val="center"/>
            <w:hideMark/>
          </w:tcPr>
          <w:p w14:paraId="12690BEA" w14:textId="02F2F87D" w:rsidR="00F120A8" w:rsidRPr="00F120A8" w:rsidRDefault="00F120A8" w:rsidP="00F120A8">
            <w:pPr>
              <w:jc w:val="right"/>
              <w:rPr>
                <w:rFonts w:eastAsia="Times New Roman"/>
                <w:color w:val="000000"/>
              </w:rPr>
            </w:pPr>
            <w:r w:rsidRPr="00F120A8">
              <w:rPr>
                <w:rFonts w:eastAsia="Times New Roman"/>
                <w:color w:val="000000"/>
              </w:rPr>
              <w:t>1</w:t>
            </w:r>
          </w:p>
        </w:tc>
        <w:tc>
          <w:tcPr>
            <w:tcW w:w="900" w:type="dxa"/>
            <w:tcBorders>
              <w:top w:val="nil"/>
              <w:left w:val="nil"/>
              <w:bottom w:val="nil"/>
              <w:right w:val="nil"/>
            </w:tcBorders>
            <w:shd w:val="clear" w:color="auto" w:fill="auto"/>
            <w:noWrap/>
            <w:vAlign w:val="center"/>
            <w:hideMark/>
          </w:tcPr>
          <w:p w14:paraId="62FABBFD" w14:textId="77777777" w:rsidR="00F120A8" w:rsidRPr="00F120A8" w:rsidRDefault="00F120A8" w:rsidP="00F120A8">
            <w:pPr>
              <w:jc w:val="right"/>
              <w:rPr>
                <w:rFonts w:eastAsia="Times New Roman"/>
                <w:color w:val="000000"/>
              </w:rPr>
            </w:pPr>
          </w:p>
        </w:tc>
        <w:tc>
          <w:tcPr>
            <w:tcW w:w="910" w:type="dxa"/>
            <w:tcBorders>
              <w:top w:val="nil"/>
              <w:left w:val="nil"/>
              <w:bottom w:val="nil"/>
              <w:right w:val="nil"/>
            </w:tcBorders>
            <w:shd w:val="clear" w:color="auto" w:fill="auto"/>
            <w:noWrap/>
            <w:vAlign w:val="center"/>
            <w:hideMark/>
          </w:tcPr>
          <w:p w14:paraId="480ACAA7" w14:textId="4CF91B2C" w:rsidR="00F120A8" w:rsidRPr="00F120A8" w:rsidRDefault="00AE5A76" w:rsidP="00F120A8">
            <w:pPr>
              <w:jc w:val="right"/>
              <w:rPr>
                <w:rFonts w:eastAsia="Times New Roman"/>
                <w:color w:val="000000"/>
              </w:rPr>
            </w:pPr>
            <w:r>
              <w:rPr>
                <w:rFonts w:eastAsia="Times New Roman"/>
                <w:color w:val="000000"/>
              </w:rPr>
              <w:t>&gt;</w:t>
            </w:r>
            <w:r w:rsidR="00A00787">
              <w:rPr>
                <w:rFonts w:eastAsia="Times New Roman"/>
                <w:color w:val="000000"/>
              </w:rPr>
              <w:t>0.0</w:t>
            </w:r>
          </w:p>
        </w:tc>
        <w:tc>
          <w:tcPr>
            <w:tcW w:w="440" w:type="dxa"/>
            <w:tcBorders>
              <w:top w:val="nil"/>
              <w:left w:val="nil"/>
              <w:bottom w:val="nil"/>
              <w:right w:val="nil"/>
            </w:tcBorders>
            <w:shd w:val="clear" w:color="auto" w:fill="auto"/>
            <w:noWrap/>
            <w:vAlign w:val="center"/>
            <w:hideMark/>
          </w:tcPr>
          <w:p w14:paraId="610D382A" w14:textId="77777777" w:rsidR="00F120A8" w:rsidRPr="00F120A8" w:rsidRDefault="00F120A8" w:rsidP="00F120A8">
            <w:pPr>
              <w:jc w:val="right"/>
              <w:rPr>
                <w:rFonts w:eastAsia="Times New Roman"/>
                <w:color w:val="000000"/>
              </w:rPr>
            </w:pPr>
          </w:p>
        </w:tc>
        <w:tc>
          <w:tcPr>
            <w:tcW w:w="760" w:type="dxa"/>
            <w:tcBorders>
              <w:top w:val="nil"/>
              <w:left w:val="nil"/>
              <w:bottom w:val="nil"/>
              <w:right w:val="nil"/>
            </w:tcBorders>
            <w:shd w:val="clear" w:color="auto" w:fill="auto"/>
            <w:noWrap/>
            <w:vAlign w:val="center"/>
            <w:hideMark/>
          </w:tcPr>
          <w:p w14:paraId="533098BF" w14:textId="77777777" w:rsidR="00F120A8" w:rsidRPr="00F120A8" w:rsidRDefault="00F120A8" w:rsidP="00F120A8">
            <w:pPr>
              <w:jc w:val="right"/>
              <w:rPr>
                <w:rFonts w:eastAsia="Times New Roman"/>
                <w:color w:val="000000"/>
              </w:rPr>
            </w:pPr>
            <w:r w:rsidRPr="00F120A8">
              <w:rPr>
                <w:rFonts w:eastAsia="Times New Roman"/>
                <w:color w:val="000000"/>
              </w:rPr>
              <w:t>n/a</w:t>
            </w:r>
          </w:p>
        </w:tc>
        <w:tc>
          <w:tcPr>
            <w:tcW w:w="236" w:type="dxa"/>
            <w:tcBorders>
              <w:top w:val="nil"/>
              <w:left w:val="nil"/>
              <w:bottom w:val="nil"/>
              <w:right w:val="nil"/>
            </w:tcBorders>
            <w:shd w:val="clear" w:color="auto" w:fill="auto"/>
            <w:noWrap/>
            <w:vAlign w:val="bottom"/>
            <w:hideMark/>
          </w:tcPr>
          <w:p w14:paraId="0A60AA09" w14:textId="77777777" w:rsidR="00F120A8" w:rsidRPr="00F120A8" w:rsidRDefault="00F120A8" w:rsidP="00F120A8">
            <w:pPr>
              <w:jc w:val="right"/>
              <w:rPr>
                <w:rFonts w:eastAsia="Times New Roman"/>
                <w:color w:val="000000"/>
              </w:rPr>
            </w:pPr>
          </w:p>
        </w:tc>
      </w:tr>
      <w:tr w:rsidR="00F120A8" w:rsidRPr="00F120A8" w14:paraId="24C5A047" w14:textId="77777777" w:rsidTr="00F3793E">
        <w:trPr>
          <w:trHeight w:val="310"/>
        </w:trPr>
        <w:tc>
          <w:tcPr>
            <w:tcW w:w="1620" w:type="dxa"/>
            <w:tcBorders>
              <w:top w:val="nil"/>
              <w:left w:val="nil"/>
              <w:bottom w:val="nil"/>
              <w:right w:val="nil"/>
            </w:tcBorders>
            <w:shd w:val="clear" w:color="auto" w:fill="auto"/>
            <w:noWrap/>
            <w:vAlign w:val="center"/>
            <w:hideMark/>
          </w:tcPr>
          <w:p w14:paraId="6075CFE8" w14:textId="77777777" w:rsidR="00F120A8" w:rsidRPr="00F120A8" w:rsidRDefault="00F120A8" w:rsidP="00F120A8">
            <w:pPr>
              <w:jc w:val="left"/>
              <w:rPr>
                <w:rFonts w:eastAsia="Times New Roman"/>
                <w:color w:val="000000"/>
              </w:rPr>
            </w:pPr>
            <w:r w:rsidRPr="00F120A8">
              <w:rPr>
                <w:rFonts w:eastAsia="Times New Roman"/>
                <w:color w:val="000000"/>
              </w:rPr>
              <w:t>IPV</w:t>
            </w:r>
          </w:p>
        </w:tc>
        <w:tc>
          <w:tcPr>
            <w:tcW w:w="960" w:type="dxa"/>
            <w:tcBorders>
              <w:top w:val="nil"/>
              <w:left w:val="nil"/>
              <w:bottom w:val="nil"/>
              <w:right w:val="nil"/>
            </w:tcBorders>
            <w:shd w:val="clear" w:color="auto" w:fill="auto"/>
            <w:noWrap/>
            <w:vAlign w:val="center"/>
            <w:hideMark/>
          </w:tcPr>
          <w:p w14:paraId="22B5EE45" w14:textId="69F1984B" w:rsidR="00F120A8" w:rsidRPr="00F120A8" w:rsidRDefault="00F120A8" w:rsidP="00F120A8">
            <w:pPr>
              <w:jc w:val="right"/>
              <w:rPr>
                <w:rFonts w:eastAsia="Times New Roman"/>
                <w:color w:val="000000"/>
              </w:rPr>
            </w:pPr>
            <w:r w:rsidRPr="00F120A8">
              <w:rPr>
                <w:rFonts w:eastAsia="Times New Roman"/>
                <w:color w:val="000000"/>
              </w:rPr>
              <w:t>2</w:t>
            </w:r>
          </w:p>
        </w:tc>
        <w:tc>
          <w:tcPr>
            <w:tcW w:w="480" w:type="dxa"/>
            <w:tcBorders>
              <w:top w:val="nil"/>
              <w:left w:val="nil"/>
              <w:bottom w:val="nil"/>
              <w:right w:val="nil"/>
            </w:tcBorders>
            <w:shd w:val="clear" w:color="auto" w:fill="auto"/>
            <w:noWrap/>
            <w:vAlign w:val="center"/>
            <w:hideMark/>
          </w:tcPr>
          <w:p w14:paraId="388291A0" w14:textId="77777777" w:rsidR="00F120A8" w:rsidRPr="00F120A8" w:rsidRDefault="00F120A8" w:rsidP="00F120A8">
            <w:pPr>
              <w:jc w:val="right"/>
              <w:rPr>
                <w:rFonts w:eastAsia="Times New Roman"/>
                <w:color w:val="000000"/>
              </w:rPr>
            </w:pPr>
          </w:p>
        </w:tc>
        <w:tc>
          <w:tcPr>
            <w:tcW w:w="1350" w:type="dxa"/>
            <w:tcBorders>
              <w:top w:val="nil"/>
              <w:left w:val="nil"/>
              <w:bottom w:val="nil"/>
              <w:right w:val="nil"/>
            </w:tcBorders>
            <w:shd w:val="clear" w:color="auto" w:fill="auto"/>
            <w:noWrap/>
            <w:vAlign w:val="center"/>
            <w:hideMark/>
          </w:tcPr>
          <w:p w14:paraId="041988B0" w14:textId="37096FEE" w:rsidR="00F120A8" w:rsidRPr="00F120A8" w:rsidRDefault="004804F2" w:rsidP="00F120A8">
            <w:pPr>
              <w:jc w:val="right"/>
              <w:rPr>
                <w:rFonts w:eastAsia="Times New Roman"/>
                <w:color w:val="000000"/>
              </w:rPr>
            </w:pPr>
            <w:r>
              <w:rPr>
                <w:rFonts w:eastAsia="Times New Roman"/>
                <w:color w:val="000000"/>
              </w:rPr>
              <w:t>0</w:t>
            </w:r>
          </w:p>
        </w:tc>
        <w:tc>
          <w:tcPr>
            <w:tcW w:w="900" w:type="dxa"/>
            <w:tcBorders>
              <w:top w:val="nil"/>
              <w:left w:val="nil"/>
              <w:bottom w:val="nil"/>
              <w:right w:val="nil"/>
            </w:tcBorders>
            <w:shd w:val="clear" w:color="auto" w:fill="auto"/>
            <w:noWrap/>
            <w:vAlign w:val="center"/>
            <w:hideMark/>
          </w:tcPr>
          <w:p w14:paraId="629D6814" w14:textId="77777777" w:rsidR="00F120A8" w:rsidRPr="00F120A8" w:rsidRDefault="00F120A8" w:rsidP="00F120A8">
            <w:pPr>
              <w:jc w:val="right"/>
              <w:rPr>
                <w:rFonts w:eastAsia="Times New Roman"/>
                <w:color w:val="000000"/>
              </w:rPr>
            </w:pPr>
          </w:p>
        </w:tc>
        <w:tc>
          <w:tcPr>
            <w:tcW w:w="910" w:type="dxa"/>
            <w:tcBorders>
              <w:top w:val="nil"/>
              <w:left w:val="nil"/>
              <w:bottom w:val="nil"/>
              <w:right w:val="nil"/>
            </w:tcBorders>
            <w:shd w:val="clear" w:color="auto" w:fill="auto"/>
            <w:noWrap/>
            <w:vAlign w:val="center"/>
            <w:hideMark/>
          </w:tcPr>
          <w:p w14:paraId="4BAEC48C" w14:textId="77777777" w:rsidR="00F120A8" w:rsidRPr="00F120A8" w:rsidRDefault="00F120A8" w:rsidP="00F120A8">
            <w:pPr>
              <w:jc w:val="right"/>
              <w:rPr>
                <w:rFonts w:eastAsia="Times New Roman"/>
                <w:color w:val="000000"/>
              </w:rPr>
            </w:pPr>
            <w:r w:rsidRPr="00F120A8">
              <w:rPr>
                <w:rFonts w:eastAsia="Times New Roman"/>
                <w:color w:val="000000"/>
              </w:rPr>
              <w:t>n/a</w:t>
            </w:r>
          </w:p>
        </w:tc>
        <w:tc>
          <w:tcPr>
            <w:tcW w:w="440" w:type="dxa"/>
            <w:tcBorders>
              <w:top w:val="nil"/>
              <w:left w:val="nil"/>
              <w:bottom w:val="nil"/>
              <w:right w:val="nil"/>
            </w:tcBorders>
            <w:shd w:val="clear" w:color="auto" w:fill="auto"/>
            <w:noWrap/>
            <w:vAlign w:val="center"/>
            <w:hideMark/>
          </w:tcPr>
          <w:p w14:paraId="0AB6FD50" w14:textId="77777777" w:rsidR="00F120A8" w:rsidRPr="00F120A8" w:rsidRDefault="00F120A8" w:rsidP="00F120A8">
            <w:pPr>
              <w:jc w:val="right"/>
              <w:rPr>
                <w:rFonts w:eastAsia="Times New Roman"/>
                <w:color w:val="000000"/>
              </w:rPr>
            </w:pPr>
          </w:p>
        </w:tc>
        <w:tc>
          <w:tcPr>
            <w:tcW w:w="760" w:type="dxa"/>
            <w:tcBorders>
              <w:top w:val="nil"/>
              <w:left w:val="nil"/>
              <w:bottom w:val="nil"/>
              <w:right w:val="nil"/>
            </w:tcBorders>
            <w:shd w:val="clear" w:color="auto" w:fill="auto"/>
            <w:noWrap/>
            <w:vAlign w:val="center"/>
            <w:hideMark/>
          </w:tcPr>
          <w:p w14:paraId="2920A05C" w14:textId="77777777" w:rsidR="00F120A8" w:rsidRPr="00F120A8" w:rsidRDefault="00F120A8" w:rsidP="00F120A8">
            <w:pPr>
              <w:jc w:val="right"/>
              <w:rPr>
                <w:rFonts w:eastAsia="Times New Roman"/>
                <w:color w:val="000000"/>
              </w:rPr>
            </w:pPr>
            <w:r w:rsidRPr="00F120A8">
              <w:rPr>
                <w:rFonts w:eastAsia="Times New Roman"/>
                <w:color w:val="000000"/>
              </w:rPr>
              <w:t>n/a</w:t>
            </w:r>
          </w:p>
        </w:tc>
        <w:tc>
          <w:tcPr>
            <w:tcW w:w="236" w:type="dxa"/>
            <w:tcBorders>
              <w:top w:val="nil"/>
              <w:left w:val="nil"/>
              <w:bottom w:val="nil"/>
              <w:right w:val="nil"/>
            </w:tcBorders>
            <w:shd w:val="clear" w:color="auto" w:fill="auto"/>
            <w:noWrap/>
            <w:vAlign w:val="bottom"/>
            <w:hideMark/>
          </w:tcPr>
          <w:p w14:paraId="63B4A909" w14:textId="77777777" w:rsidR="00F120A8" w:rsidRPr="00F120A8" w:rsidRDefault="00F120A8" w:rsidP="00F120A8">
            <w:pPr>
              <w:jc w:val="right"/>
              <w:rPr>
                <w:rFonts w:eastAsia="Times New Roman"/>
                <w:color w:val="000000"/>
              </w:rPr>
            </w:pPr>
          </w:p>
        </w:tc>
      </w:tr>
      <w:tr w:rsidR="00F120A8" w:rsidRPr="00F120A8" w14:paraId="068E2812" w14:textId="77777777" w:rsidTr="004804F2">
        <w:trPr>
          <w:trHeight w:val="310"/>
        </w:trPr>
        <w:tc>
          <w:tcPr>
            <w:tcW w:w="1620" w:type="dxa"/>
            <w:tcBorders>
              <w:top w:val="nil"/>
              <w:left w:val="nil"/>
              <w:bottom w:val="single" w:sz="4" w:space="0" w:color="auto"/>
              <w:right w:val="nil"/>
            </w:tcBorders>
            <w:shd w:val="clear" w:color="auto" w:fill="auto"/>
            <w:noWrap/>
            <w:vAlign w:val="center"/>
            <w:hideMark/>
          </w:tcPr>
          <w:p w14:paraId="4CA28DBF" w14:textId="77777777" w:rsidR="00F120A8" w:rsidRPr="00F120A8" w:rsidRDefault="00F120A8" w:rsidP="00F120A8">
            <w:pPr>
              <w:jc w:val="left"/>
              <w:rPr>
                <w:rFonts w:eastAsia="Times New Roman"/>
                <w:color w:val="000000"/>
              </w:rPr>
            </w:pPr>
            <w:r w:rsidRPr="00F120A8">
              <w:rPr>
                <w:rFonts w:eastAsia="Times New Roman"/>
                <w:color w:val="000000"/>
              </w:rPr>
              <w:t>VAR</w:t>
            </w:r>
          </w:p>
        </w:tc>
        <w:tc>
          <w:tcPr>
            <w:tcW w:w="960" w:type="dxa"/>
            <w:tcBorders>
              <w:top w:val="nil"/>
              <w:left w:val="nil"/>
              <w:bottom w:val="single" w:sz="4" w:space="0" w:color="auto"/>
              <w:right w:val="nil"/>
            </w:tcBorders>
            <w:shd w:val="clear" w:color="auto" w:fill="auto"/>
            <w:noWrap/>
            <w:vAlign w:val="center"/>
            <w:hideMark/>
          </w:tcPr>
          <w:p w14:paraId="1324BCF2" w14:textId="11B67B31" w:rsidR="00F120A8" w:rsidRPr="00F120A8" w:rsidRDefault="00F120A8" w:rsidP="00F120A8">
            <w:pPr>
              <w:jc w:val="right"/>
              <w:rPr>
                <w:rFonts w:eastAsia="Times New Roman"/>
                <w:color w:val="000000"/>
              </w:rPr>
            </w:pPr>
            <w:r w:rsidRPr="00F120A8">
              <w:rPr>
                <w:rFonts w:eastAsia="Times New Roman"/>
                <w:color w:val="000000"/>
              </w:rPr>
              <w:t>5</w:t>
            </w:r>
          </w:p>
        </w:tc>
        <w:tc>
          <w:tcPr>
            <w:tcW w:w="480" w:type="dxa"/>
            <w:tcBorders>
              <w:top w:val="nil"/>
              <w:left w:val="nil"/>
              <w:bottom w:val="single" w:sz="4" w:space="0" w:color="auto"/>
              <w:right w:val="nil"/>
            </w:tcBorders>
            <w:shd w:val="clear" w:color="auto" w:fill="auto"/>
            <w:noWrap/>
            <w:vAlign w:val="center"/>
            <w:hideMark/>
          </w:tcPr>
          <w:p w14:paraId="03713A41" w14:textId="77777777" w:rsidR="00F120A8" w:rsidRPr="00F120A8" w:rsidRDefault="00F120A8" w:rsidP="00F120A8">
            <w:pPr>
              <w:jc w:val="right"/>
              <w:rPr>
                <w:rFonts w:eastAsia="Times New Roman"/>
                <w:color w:val="000000"/>
              </w:rPr>
            </w:pPr>
          </w:p>
        </w:tc>
        <w:tc>
          <w:tcPr>
            <w:tcW w:w="1350" w:type="dxa"/>
            <w:tcBorders>
              <w:top w:val="nil"/>
              <w:left w:val="nil"/>
              <w:bottom w:val="single" w:sz="4" w:space="0" w:color="auto"/>
              <w:right w:val="nil"/>
            </w:tcBorders>
            <w:shd w:val="clear" w:color="auto" w:fill="auto"/>
            <w:noWrap/>
            <w:vAlign w:val="center"/>
            <w:hideMark/>
          </w:tcPr>
          <w:p w14:paraId="29D474C8" w14:textId="7C39A748" w:rsidR="00F120A8" w:rsidRPr="00F120A8" w:rsidRDefault="00F120A8" w:rsidP="00F120A8">
            <w:pPr>
              <w:jc w:val="right"/>
              <w:rPr>
                <w:rFonts w:eastAsia="Times New Roman"/>
                <w:color w:val="000000"/>
              </w:rPr>
            </w:pPr>
            <w:r w:rsidRPr="00F120A8">
              <w:rPr>
                <w:rFonts w:eastAsia="Times New Roman"/>
                <w:color w:val="000000"/>
              </w:rPr>
              <w:t>3</w:t>
            </w:r>
          </w:p>
        </w:tc>
        <w:tc>
          <w:tcPr>
            <w:tcW w:w="900" w:type="dxa"/>
            <w:tcBorders>
              <w:top w:val="nil"/>
              <w:left w:val="nil"/>
              <w:bottom w:val="single" w:sz="4" w:space="0" w:color="auto"/>
              <w:right w:val="nil"/>
            </w:tcBorders>
            <w:shd w:val="clear" w:color="auto" w:fill="auto"/>
            <w:noWrap/>
            <w:vAlign w:val="center"/>
            <w:hideMark/>
          </w:tcPr>
          <w:p w14:paraId="5690D3BA" w14:textId="77777777" w:rsidR="00F120A8" w:rsidRPr="00F120A8" w:rsidRDefault="00F120A8" w:rsidP="00F120A8">
            <w:pPr>
              <w:jc w:val="right"/>
              <w:rPr>
                <w:rFonts w:eastAsia="Times New Roman"/>
                <w:color w:val="000000"/>
              </w:rPr>
            </w:pPr>
          </w:p>
        </w:tc>
        <w:tc>
          <w:tcPr>
            <w:tcW w:w="910" w:type="dxa"/>
            <w:tcBorders>
              <w:top w:val="nil"/>
              <w:left w:val="nil"/>
              <w:bottom w:val="single" w:sz="4" w:space="0" w:color="auto"/>
              <w:right w:val="nil"/>
            </w:tcBorders>
            <w:shd w:val="clear" w:color="auto" w:fill="auto"/>
            <w:noWrap/>
            <w:vAlign w:val="center"/>
            <w:hideMark/>
          </w:tcPr>
          <w:p w14:paraId="0D1773D2" w14:textId="77777777" w:rsidR="00F120A8" w:rsidRPr="00F120A8" w:rsidRDefault="00F120A8" w:rsidP="00F120A8">
            <w:pPr>
              <w:jc w:val="right"/>
              <w:rPr>
                <w:rFonts w:eastAsia="Times New Roman"/>
                <w:color w:val="000000"/>
              </w:rPr>
            </w:pPr>
            <w:r w:rsidRPr="00F120A8">
              <w:rPr>
                <w:rFonts w:eastAsia="Times New Roman"/>
                <w:color w:val="000000"/>
              </w:rPr>
              <w:t>11.3</w:t>
            </w:r>
          </w:p>
        </w:tc>
        <w:tc>
          <w:tcPr>
            <w:tcW w:w="440" w:type="dxa"/>
            <w:tcBorders>
              <w:top w:val="nil"/>
              <w:left w:val="nil"/>
              <w:bottom w:val="single" w:sz="4" w:space="0" w:color="auto"/>
              <w:right w:val="nil"/>
            </w:tcBorders>
            <w:shd w:val="clear" w:color="auto" w:fill="auto"/>
            <w:noWrap/>
            <w:vAlign w:val="center"/>
            <w:hideMark/>
          </w:tcPr>
          <w:p w14:paraId="57C2EC52" w14:textId="77777777" w:rsidR="00F120A8" w:rsidRPr="00F120A8" w:rsidRDefault="00F120A8" w:rsidP="00F120A8">
            <w:pPr>
              <w:jc w:val="right"/>
              <w:rPr>
                <w:rFonts w:eastAsia="Times New Roman"/>
                <w:color w:val="000000"/>
              </w:rPr>
            </w:pPr>
          </w:p>
        </w:tc>
        <w:tc>
          <w:tcPr>
            <w:tcW w:w="760" w:type="dxa"/>
            <w:tcBorders>
              <w:top w:val="nil"/>
              <w:left w:val="nil"/>
              <w:bottom w:val="single" w:sz="4" w:space="0" w:color="auto"/>
              <w:right w:val="nil"/>
            </w:tcBorders>
            <w:shd w:val="clear" w:color="auto" w:fill="auto"/>
            <w:noWrap/>
            <w:vAlign w:val="center"/>
            <w:hideMark/>
          </w:tcPr>
          <w:p w14:paraId="6BF0E5FF" w14:textId="77777777" w:rsidR="00F120A8" w:rsidRPr="00F120A8" w:rsidRDefault="00F120A8" w:rsidP="00F120A8">
            <w:pPr>
              <w:jc w:val="right"/>
              <w:rPr>
                <w:rFonts w:eastAsia="Times New Roman"/>
                <w:color w:val="000000"/>
              </w:rPr>
            </w:pPr>
            <w:r w:rsidRPr="00F120A8">
              <w:rPr>
                <w:rFonts w:eastAsia="Times New Roman"/>
                <w:color w:val="000000"/>
              </w:rPr>
              <w:t>6.6</w:t>
            </w:r>
          </w:p>
        </w:tc>
        <w:tc>
          <w:tcPr>
            <w:tcW w:w="236" w:type="dxa"/>
            <w:tcBorders>
              <w:top w:val="nil"/>
              <w:left w:val="nil"/>
              <w:right w:val="nil"/>
            </w:tcBorders>
            <w:shd w:val="clear" w:color="auto" w:fill="auto"/>
            <w:noWrap/>
            <w:vAlign w:val="bottom"/>
            <w:hideMark/>
          </w:tcPr>
          <w:p w14:paraId="13B44A2C" w14:textId="77777777" w:rsidR="00F120A8" w:rsidRPr="00F120A8" w:rsidRDefault="00F120A8" w:rsidP="00F120A8">
            <w:pPr>
              <w:jc w:val="right"/>
              <w:rPr>
                <w:rFonts w:eastAsia="Times New Roman"/>
                <w:color w:val="000000"/>
              </w:rPr>
            </w:pPr>
          </w:p>
        </w:tc>
      </w:tr>
      <w:tr w:rsidR="00F120A8" w:rsidRPr="00F120A8" w14:paraId="53B9E9CB" w14:textId="77777777" w:rsidTr="004804F2">
        <w:trPr>
          <w:trHeight w:val="310"/>
        </w:trPr>
        <w:tc>
          <w:tcPr>
            <w:tcW w:w="1620" w:type="dxa"/>
            <w:tcBorders>
              <w:top w:val="single" w:sz="4" w:space="0" w:color="auto"/>
              <w:left w:val="nil"/>
              <w:bottom w:val="single" w:sz="4" w:space="0" w:color="auto"/>
              <w:right w:val="nil"/>
            </w:tcBorders>
            <w:shd w:val="clear" w:color="auto" w:fill="auto"/>
            <w:noWrap/>
            <w:vAlign w:val="center"/>
            <w:hideMark/>
          </w:tcPr>
          <w:p w14:paraId="16A3E2DA" w14:textId="77777777" w:rsidR="00F120A8" w:rsidRPr="00F120A8" w:rsidRDefault="00F120A8" w:rsidP="00F120A8">
            <w:pPr>
              <w:jc w:val="left"/>
              <w:rPr>
                <w:rFonts w:eastAsia="Times New Roman"/>
                <w:color w:val="000000"/>
              </w:rPr>
            </w:pPr>
            <w:r w:rsidRPr="00F120A8">
              <w:rPr>
                <w:rFonts w:eastAsia="Times New Roman"/>
                <w:color w:val="000000"/>
              </w:rPr>
              <w:t>Average</w:t>
            </w:r>
          </w:p>
        </w:tc>
        <w:tc>
          <w:tcPr>
            <w:tcW w:w="960" w:type="dxa"/>
            <w:tcBorders>
              <w:top w:val="single" w:sz="4" w:space="0" w:color="auto"/>
              <w:left w:val="nil"/>
              <w:bottom w:val="single" w:sz="4" w:space="0" w:color="auto"/>
              <w:right w:val="nil"/>
            </w:tcBorders>
            <w:shd w:val="clear" w:color="auto" w:fill="auto"/>
            <w:noWrap/>
            <w:vAlign w:val="center"/>
            <w:hideMark/>
          </w:tcPr>
          <w:p w14:paraId="28429465" w14:textId="77777777" w:rsidR="00F120A8" w:rsidRPr="00F120A8" w:rsidRDefault="00F120A8" w:rsidP="00F120A8">
            <w:pPr>
              <w:jc w:val="right"/>
              <w:rPr>
                <w:rFonts w:eastAsia="Times New Roman"/>
                <w:color w:val="000000"/>
              </w:rPr>
            </w:pPr>
            <w:r w:rsidRPr="00F120A8">
              <w:rPr>
                <w:rFonts w:eastAsia="Times New Roman"/>
                <w:color w:val="000000"/>
              </w:rPr>
              <w:t>4.3</w:t>
            </w:r>
          </w:p>
        </w:tc>
        <w:tc>
          <w:tcPr>
            <w:tcW w:w="480" w:type="dxa"/>
            <w:tcBorders>
              <w:top w:val="single" w:sz="4" w:space="0" w:color="auto"/>
              <w:left w:val="nil"/>
              <w:bottom w:val="single" w:sz="4" w:space="0" w:color="auto"/>
              <w:right w:val="nil"/>
            </w:tcBorders>
            <w:shd w:val="clear" w:color="auto" w:fill="auto"/>
            <w:noWrap/>
            <w:vAlign w:val="center"/>
            <w:hideMark/>
          </w:tcPr>
          <w:p w14:paraId="1D43C04F" w14:textId="77777777" w:rsidR="00F120A8" w:rsidRPr="00F120A8" w:rsidRDefault="00F120A8" w:rsidP="00F120A8">
            <w:pPr>
              <w:jc w:val="right"/>
              <w:rPr>
                <w:rFonts w:eastAsia="Times New Roman"/>
                <w:color w:val="000000"/>
              </w:rPr>
            </w:pPr>
          </w:p>
        </w:tc>
        <w:tc>
          <w:tcPr>
            <w:tcW w:w="1350" w:type="dxa"/>
            <w:tcBorders>
              <w:top w:val="single" w:sz="4" w:space="0" w:color="auto"/>
              <w:left w:val="nil"/>
              <w:bottom w:val="single" w:sz="4" w:space="0" w:color="auto"/>
              <w:right w:val="nil"/>
            </w:tcBorders>
            <w:shd w:val="clear" w:color="auto" w:fill="auto"/>
            <w:noWrap/>
            <w:vAlign w:val="center"/>
            <w:hideMark/>
          </w:tcPr>
          <w:p w14:paraId="4B355377" w14:textId="77777777" w:rsidR="00F120A8" w:rsidRPr="00F120A8" w:rsidRDefault="00F120A8" w:rsidP="00F120A8">
            <w:pPr>
              <w:jc w:val="right"/>
              <w:rPr>
                <w:rFonts w:eastAsia="Times New Roman"/>
                <w:color w:val="000000"/>
              </w:rPr>
            </w:pPr>
            <w:r w:rsidRPr="00F120A8">
              <w:rPr>
                <w:rFonts w:eastAsia="Times New Roman"/>
                <w:color w:val="000000"/>
              </w:rPr>
              <w:t>3.8</w:t>
            </w:r>
          </w:p>
        </w:tc>
        <w:tc>
          <w:tcPr>
            <w:tcW w:w="900" w:type="dxa"/>
            <w:tcBorders>
              <w:top w:val="single" w:sz="4" w:space="0" w:color="auto"/>
              <w:left w:val="nil"/>
              <w:bottom w:val="single" w:sz="4" w:space="0" w:color="auto"/>
              <w:right w:val="nil"/>
            </w:tcBorders>
            <w:shd w:val="clear" w:color="auto" w:fill="auto"/>
            <w:noWrap/>
            <w:vAlign w:val="center"/>
            <w:hideMark/>
          </w:tcPr>
          <w:p w14:paraId="57CFE1FB" w14:textId="77777777" w:rsidR="00F120A8" w:rsidRPr="00F120A8" w:rsidRDefault="00F120A8" w:rsidP="00F120A8">
            <w:pPr>
              <w:jc w:val="right"/>
              <w:rPr>
                <w:rFonts w:eastAsia="Times New Roman"/>
                <w:color w:val="000000"/>
              </w:rPr>
            </w:pPr>
          </w:p>
        </w:tc>
        <w:tc>
          <w:tcPr>
            <w:tcW w:w="910" w:type="dxa"/>
            <w:tcBorders>
              <w:top w:val="single" w:sz="4" w:space="0" w:color="auto"/>
              <w:left w:val="nil"/>
              <w:bottom w:val="single" w:sz="4" w:space="0" w:color="auto"/>
              <w:right w:val="nil"/>
            </w:tcBorders>
            <w:shd w:val="clear" w:color="auto" w:fill="auto"/>
            <w:noWrap/>
            <w:vAlign w:val="center"/>
            <w:hideMark/>
          </w:tcPr>
          <w:p w14:paraId="5D1D4DA6" w14:textId="77777777" w:rsidR="00F120A8" w:rsidRPr="00F120A8" w:rsidRDefault="00F120A8" w:rsidP="00F120A8">
            <w:pPr>
              <w:jc w:val="right"/>
              <w:rPr>
                <w:rFonts w:eastAsia="Times New Roman"/>
                <w:color w:val="000000"/>
              </w:rPr>
            </w:pPr>
            <w:r w:rsidRPr="00F120A8">
              <w:rPr>
                <w:rFonts w:eastAsia="Times New Roman"/>
                <w:color w:val="000000"/>
              </w:rPr>
              <w:t>16.8</w:t>
            </w:r>
          </w:p>
        </w:tc>
        <w:tc>
          <w:tcPr>
            <w:tcW w:w="440" w:type="dxa"/>
            <w:tcBorders>
              <w:top w:val="single" w:sz="4" w:space="0" w:color="auto"/>
              <w:left w:val="nil"/>
              <w:bottom w:val="single" w:sz="4" w:space="0" w:color="auto"/>
              <w:right w:val="nil"/>
            </w:tcBorders>
            <w:shd w:val="clear" w:color="auto" w:fill="auto"/>
            <w:noWrap/>
            <w:vAlign w:val="center"/>
            <w:hideMark/>
          </w:tcPr>
          <w:p w14:paraId="4838AF9F" w14:textId="77777777" w:rsidR="00F120A8" w:rsidRPr="00F120A8" w:rsidRDefault="00F120A8" w:rsidP="00F120A8">
            <w:pPr>
              <w:jc w:val="right"/>
              <w:rPr>
                <w:rFonts w:eastAsia="Times New Roman"/>
                <w:color w:val="000000"/>
              </w:rPr>
            </w:pPr>
          </w:p>
        </w:tc>
        <w:tc>
          <w:tcPr>
            <w:tcW w:w="760" w:type="dxa"/>
            <w:tcBorders>
              <w:top w:val="single" w:sz="4" w:space="0" w:color="auto"/>
              <w:left w:val="nil"/>
              <w:bottom w:val="single" w:sz="4" w:space="0" w:color="auto"/>
              <w:right w:val="nil"/>
            </w:tcBorders>
            <w:shd w:val="clear" w:color="auto" w:fill="auto"/>
            <w:noWrap/>
            <w:vAlign w:val="center"/>
            <w:hideMark/>
          </w:tcPr>
          <w:p w14:paraId="41B64A31" w14:textId="77777777" w:rsidR="00F120A8" w:rsidRPr="00F120A8" w:rsidRDefault="00F120A8" w:rsidP="00F120A8">
            <w:pPr>
              <w:jc w:val="right"/>
              <w:rPr>
                <w:rFonts w:eastAsia="Times New Roman"/>
                <w:color w:val="000000"/>
              </w:rPr>
            </w:pPr>
            <w:r w:rsidRPr="00F120A8">
              <w:rPr>
                <w:rFonts w:eastAsia="Times New Roman"/>
                <w:color w:val="000000"/>
              </w:rPr>
              <w:t>12.6</w:t>
            </w:r>
          </w:p>
        </w:tc>
        <w:tc>
          <w:tcPr>
            <w:tcW w:w="236" w:type="dxa"/>
            <w:tcBorders>
              <w:top w:val="nil"/>
              <w:left w:val="nil"/>
              <w:right w:val="nil"/>
            </w:tcBorders>
            <w:shd w:val="clear" w:color="auto" w:fill="auto"/>
            <w:noWrap/>
            <w:vAlign w:val="bottom"/>
            <w:hideMark/>
          </w:tcPr>
          <w:p w14:paraId="09491511" w14:textId="77777777" w:rsidR="00F120A8" w:rsidRPr="00F120A8" w:rsidRDefault="00F120A8" w:rsidP="00F120A8">
            <w:pPr>
              <w:jc w:val="right"/>
              <w:rPr>
                <w:rFonts w:eastAsia="Times New Roman"/>
                <w:color w:val="000000"/>
              </w:rPr>
            </w:pPr>
          </w:p>
        </w:tc>
      </w:tr>
    </w:tbl>
    <w:p w14:paraId="3FF39688" w14:textId="77777777" w:rsidR="00D764A6" w:rsidRPr="00B26772" w:rsidRDefault="00D764A6" w:rsidP="00F120A8">
      <w:pPr>
        <w:jc w:val="left"/>
      </w:pPr>
    </w:p>
    <w:p w14:paraId="0758574A" w14:textId="36C825EB" w:rsidR="00530DE6" w:rsidRPr="00B26772" w:rsidRDefault="00530DE6" w:rsidP="00530DE6">
      <w:pPr>
        <w:jc w:val="center"/>
      </w:pPr>
    </w:p>
    <w:p w14:paraId="765EA034" w14:textId="77777777" w:rsidR="00D86E48" w:rsidRPr="00B26772" w:rsidRDefault="00D86E48" w:rsidP="00530DE6">
      <w:pPr>
        <w:jc w:val="center"/>
      </w:pPr>
    </w:p>
    <w:p w14:paraId="0F1057D9" w14:textId="77777777" w:rsidR="00D86E48" w:rsidRPr="00B26772" w:rsidRDefault="00D86E48" w:rsidP="00530DE6">
      <w:pPr>
        <w:jc w:val="center"/>
      </w:pPr>
    </w:p>
    <w:p w14:paraId="061C451B" w14:textId="77777777" w:rsidR="00D86E48" w:rsidRPr="00B26772" w:rsidRDefault="00D86E48" w:rsidP="00D86E48"/>
    <w:p w14:paraId="10D2E767" w14:textId="77777777" w:rsidR="00D86E48" w:rsidRPr="00B26772" w:rsidRDefault="00D86E48" w:rsidP="00D86E48"/>
    <w:p w14:paraId="6810F3C5" w14:textId="77777777" w:rsidR="00D86E48" w:rsidRPr="00B26772" w:rsidRDefault="00D86E48" w:rsidP="00D86E48"/>
    <w:p w14:paraId="4D4487EE" w14:textId="77777777" w:rsidR="00D86E48" w:rsidRPr="00B26772" w:rsidRDefault="00D86E48" w:rsidP="00D86E48"/>
    <w:p w14:paraId="2BD1C2C0" w14:textId="77777777" w:rsidR="00D86E48" w:rsidRPr="00B26772" w:rsidRDefault="00D86E48" w:rsidP="00D86E48"/>
    <w:p w14:paraId="23A302C3" w14:textId="77777777" w:rsidR="00D86E48" w:rsidRPr="00B26772" w:rsidRDefault="00D86E48" w:rsidP="00D86E48"/>
    <w:p w14:paraId="04E636B0" w14:textId="77777777" w:rsidR="00D86E48" w:rsidRPr="00B26772" w:rsidRDefault="00D86E48" w:rsidP="00D86E48"/>
    <w:p w14:paraId="5BE1D6A5" w14:textId="77777777" w:rsidR="00D86E48" w:rsidRPr="00B26772" w:rsidRDefault="00D86E48" w:rsidP="00D86E48"/>
    <w:p w14:paraId="19A98104" w14:textId="77777777" w:rsidR="00D86E48" w:rsidRPr="00B26772" w:rsidRDefault="00D86E48" w:rsidP="00D86E48"/>
    <w:p w14:paraId="70E2C0AB" w14:textId="77777777" w:rsidR="00D86E48" w:rsidRPr="00B26772" w:rsidRDefault="00D86E48" w:rsidP="00D86E48"/>
    <w:p w14:paraId="7CC14C72" w14:textId="77777777" w:rsidR="00D86E48" w:rsidRPr="00B26772" w:rsidRDefault="00D86E48" w:rsidP="00D86E48"/>
    <w:p w14:paraId="495E68BA" w14:textId="77777777" w:rsidR="00D86E48" w:rsidRPr="00B26772" w:rsidRDefault="00D86E48" w:rsidP="00D86E48"/>
    <w:p w14:paraId="6CDD6CF1" w14:textId="77777777" w:rsidR="00D86E48" w:rsidRPr="00B26772" w:rsidRDefault="00D86E48" w:rsidP="00D86E48"/>
    <w:p w14:paraId="79879817" w14:textId="77777777" w:rsidR="00414A99" w:rsidRPr="00B26772" w:rsidRDefault="00414A99" w:rsidP="00D86E48"/>
    <w:p w14:paraId="7D10AFD8" w14:textId="77777777" w:rsidR="00414A99" w:rsidRPr="00B26772" w:rsidRDefault="00414A99" w:rsidP="00D86E48"/>
    <w:p w14:paraId="4C86DA7E" w14:textId="77777777" w:rsidR="00414A99" w:rsidRPr="00B26772" w:rsidRDefault="00414A99" w:rsidP="00D86E48"/>
    <w:p w14:paraId="075F5C99" w14:textId="77777777" w:rsidR="00414A99" w:rsidRPr="00B26772" w:rsidRDefault="00414A99" w:rsidP="00D86E48"/>
    <w:p w14:paraId="089C9A3E" w14:textId="77777777" w:rsidR="0048235A" w:rsidRDefault="0048235A" w:rsidP="00414A99">
      <w:pPr>
        <w:spacing w:line="480" w:lineRule="auto"/>
        <w:contextualSpacing/>
        <w:jc w:val="center"/>
      </w:pPr>
    </w:p>
    <w:p w14:paraId="1398F4AB" w14:textId="472BB4E1" w:rsidR="0048235A" w:rsidRDefault="0048235A" w:rsidP="00414A99">
      <w:pPr>
        <w:spacing w:line="480" w:lineRule="auto"/>
        <w:contextualSpacing/>
        <w:jc w:val="center"/>
      </w:pPr>
    </w:p>
    <w:p w14:paraId="72C6E52B" w14:textId="77777777" w:rsidR="00FC792F" w:rsidRDefault="00FC792F" w:rsidP="00414A99">
      <w:pPr>
        <w:spacing w:line="480" w:lineRule="auto"/>
        <w:contextualSpacing/>
        <w:jc w:val="center"/>
      </w:pPr>
    </w:p>
    <w:p w14:paraId="0BFA885C" w14:textId="0D170D04" w:rsidR="00414A99" w:rsidRPr="00B26772" w:rsidRDefault="009D5BEF" w:rsidP="00FC792F">
      <w:pPr>
        <w:contextualSpacing/>
        <w:jc w:val="left"/>
      </w:pPr>
      <w:r w:rsidRPr="00B26772">
        <w:lastRenderedPageBreak/>
        <w:t>TABLE 2</w:t>
      </w:r>
    </w:p>
    <w:tbl>
      <w:tblPr>
        <w:tblW w:w="8838" w:type="dxa"/>
        <w:tblLayout w:type="fixed"/>
        <w:tblLook w:val="04A0" w:firstRow="1" w:lastRow="0" w:firstColumn="1" w:lastColumn="0" w:noHBand="0" w:noVBand="1"/>
      </w:tblPr>
      <w:tblGrid>
        <w:gridCol w:w="1458"/>
        <w:gridCol w:w="1620"/>
        <w:gridCol w:w="1170"/>
        <w:gridCol w:w="1080"/>
        <w:gridCol w:w="990"/>
        <w:gridCol w:w="270"/>
        <w:gridCol w:w="1080"/>
        <w:gridCol w:w="1170"/>
      </w:tblGrid>
      <w:tr w:rsidR="0048235A" w:rsidRPr="00B26772" w14:paraId="5652EA71" w14:textId="77777777" w:rsidTr="00343963">
        <w:trPr>
          <w:trHeight w:val="310"/>
        </w:trPr>
        <w:tc>
          <w:tcPr>
            <w:tcW w:w="8838" w:type="dxa"/>
            <w:gridSpan w:val="8"/>
            <w:tcBorders>
              <w:left w:val="nil"/>
              <w:bottom w:val="single" w:sz="8" w:space="0" w:color="auto"/>
              <w:right w:val="nil"/>
            </w:tcBorders>
            <w:shd w:val="clear" w:color="auto" w:fill="auto"/>
            <w:noWrap/>
            <w:vAlign w:val="bottom"/>
          </w:tcPr>
          <w:p w14:paraId="76953D05" w14:textId="797266FC" w:rsidR="0048235A" w:rsidRPr="00FC792F" w:rsidRDefault="0048235A" w:rsidP="00FC792F">
            <w:pPr>
              <w:contextualSpacing/>
              <w:jc w:val="left"/>
              <w:rPr>
                <w:i/>
              </w:rPr>
            </w:pPr>
            <w:r w:rsidRPr="0048235A">
              <w:rPr>
                <w:i/>
              </w:rPr>
              <w:t xml:space="preserve">Mean Estimates </w:t>
            </w:r>
            <w:r>
              <w:rPr>
                <w:i/>
              </w:rPr>
              <w:t>a</w:t>
            </w:r>
            <w:r w:rsidRPr="0048235A">
              <w:rPr>
                <w:i/>
              </w:rPr>
              <w:t xml:space="preserve">nd </w:t>
            </w:r>
            <w:r w:rsidR="001D1970">
              <w:rPr>
                <w:i/>
              </w:rPr>
              <w:t xml:space="preserve">Percentage of Correct Responses </w:t>
            </w:r>
            <w:r w:rsidR="00FC792F">
              <w:rPr>
                <w:i/>
              </w:rPr>
              <w:t>t</w:t>
            </w:r>
            <w:r w:rsidRPr="0048235A">
              <w:rPr>
                <w:i/>
              </w:rPr>
              <w:t xml:space="preserve">o Comprehension Questions </w:t>
            </w:r>
            <w:r w:rsidR="00FC792F">
              <w:rPr>
                <w:i/>
              </w:rPr>
              <w:t>i</w:t>
            </w:r>
            <w:r w:rsidRPr="0048235A">
              <w:rPr>
                <w:i/>
              </w:rPr>
              <w:t xml:space="preserve">n </w:t>
            </w:r>
            <w:r w:rsidR="00FC792F">
              <w:rPr>
                <w:i/>
              </w:rPr>
              <w:t>t</w:t>
            </w:r>
            <w:r w:rsidRPr="0048235A">
              <w:rPr>
                <w:i/>
              </w:rPr>
              <w:t xml:space="preserve">he Single </w:t>
            </w:r>
            <w:r w:rsidR="00FC792F">
              <w:rPr>
                <w:i/>
              </w:rPr>
              <w:t>a</w:t>
            </w:r>
            <w:r w:rsidRPr="0048235A">
              <w:rPr>
                <w:i/>
              </w:rPr>
              <w:t xml:space="preserve">nd Multiple-Risk Conditions </w:t>
            </w:r>
            <w:r w:rsidR="00FC792F">
              <w:rPr>
                <w:i/>
              </w:rPr>
              <w:t>i</w:t>
            </w:r>
            <w:r w:rsidRPr="0048235A">
              <w:rPr>
                <w:i/>
              </w:rPr>
              <w:t xml:space="preserve">n </w:t>
            </w:r>
            <w:r w:rsidR="00FC792F">
              <w:rPr>
                <w:i/>
              </w:rPr>
              <w:t>t</w:t>
            </w:r>
            <w:r w:rsidRPr="0048235A">
              <w:rPr>
                <w:i/>
              </w:rPr>
              <w:t xml:space="preserve">he Presence Versus Absence </w:t>
            </w:r>
            <w:r w:rsidR="00FC792F">
              <w:rPr>
                <w:i/>
              </w:rPr>
              <w:t>o</w:t>
            </w:r>
            <w:r w:rsidRPr="0048235A">
              <w:rPr>
                <w:i/>
              </w:rPr>
              <w:t>f Pictographs</w:t>
            </w:r>
          </w:p>
        </w:tc>
      </w:tr>
      <w:tr w:rsidR="00414A99" w:rsidRPr="00B26772" w14:paraId="4FF1921C" w14:textId="77777777" w:rsidTr="004804F2">
        <w:trPr>
          <w:trHeight w:val="310"/>
        </w:trPr>
        <w:tc>
          <w:tcPr>
            <w:tcW w:w="1458" w:type="dxa"/>
            <w:tcBorders>
              <w:top w:val="single" w:sz="8" w:space="0" w:color="auto"/>
              <w:left w:val="nil"/>
              <w:bottom w:val="nil"/>
              <w:right w:val="nil"/>
            </w:tcBorders>
            <w:shd w:val="clear" w:color="auto" w:fill="auto"/>
            <w:noWrap/>
            <w:vAlign w:val="bottom"/>
            <w:hideMark/>
          </w:tcPr>
          <w:p w14:paraId="523218ED" w14:textId="77777777" w:rsidR="00414A99" w:rsidRPr="00B26772" w:rsidRDefault="00414A99" w:rsidP="00775172">
            <w:pPr>
              <w:jc w:val="left"/>
              <w:rPr>
                <w:rFonts w:eastAsia="Times New Roman"/>
              </w:rPr>
            </w:pPr>
          </w:p>
        </w:tc>
        <w:tc>
          <w:tcPr>
            <w:tcW w:w="1620" w:type="dxa"/>
            <w:tcBorders>
              <w:top w:val="single" w:sz="8" w:space="0" w:color="auto"/>
              <w:left w:val="nil"/>
              <w:bottom w:val="nil"/>
              <w:right w:val="nil"/>
            </w:tcBorders>
            <w:shd w:val="clear" w:color="auto" w:fill="auto"/>
            <w:noWrap/>
            <w:vAlign w:val="bottom"/>
            <w:hideMark/>
          </w:tcPr>
          <w:p w14:paraId="66F3231F" w14:textId="77777777" w:rsidR="00414A99" w:rsidRPr="00B26772" w:rsidRDefault="00414A99" w:rsidP="00775172">
            <w:pPr>
              <w:jc w:val="left"/>
              <w:rPr>
                <w:rFonts w:eastAsia="Times New Roman"/>
                <w:sz w:val="20"/>
                <w:szCs w:val="20"/>
              </w:rPr>
            </w:pPr>
          </w:p>
        </w:tc>
        <w:tc>
          <w:tcPr>
            <w:tcW w:w="1170" w:type="dxa"/>
            <w:tcBorders>
              <w:top w:val="single" w:sz="8" w:space="0" w:color="auto"/>
              <w:left w:val="nil"/>
              <w:bottom w:val="nil"/>
              <w:right w:val="nil"/>
            </w:tcBorders>
            <w:shd w:val="clear" w:color="auto" w:fill="auto"/>
            <w:noWrap/>
            <w:vAlign w:val="bottom"/>
            <w:hideMark/>
          </w:tcPr>
          <w:p w14:paraId="1897531A" w14:textId="77777777" w:rsidR="00414A99" w:rsidRPr="00B26772" w:rsidRDefault="00414A99" w:rsidP="00775172">
            <w:pPr>
              <w:jc w:val="left"/>
              <w:rPr>
                <w:rFonts w:eastAsia="Times New Roman"/>
                <w:sz w:val="20"/>
                <w:szCs w:val="20"/>
              </w:rPr>
            </w:pPr>
          </w:p>
        </w:tc>
        <w:tc>
          <w:tcPr>
            <w:tcW w:w="2070" w:type="dxa"/>
            <w:gridSpan w:val="2"/>
            <w:tcBorders>
              <w:top w:val="single" w:sz="8" w:space="0" w:color="auto"/>
              <w:left w:val="nil"/>
              <w:bottom w:val="single" w:sz="4" w:space="0" w:color="auto"/>
              <w:right w:val="nil"/>
            </w:tcBorders>
            <w:shd w:val="clear" w:color="auto" w:fill="auto"/>
            <w:noWrap/>
            <w:vAlign w:val="bottom"/>
            <w:hideMark/>
          </w:tcPr>
          <w:p w14:paraId="005BC312" w14:textId="77777777" w:rsidR="00414A99" w:rsidRPr="00B26772" w:rsidRDefault="00414A99" w:rsidP="00775172">
            <w:pPr>
              <w:jc w:val="center"/>
              <w:rPr>
                <w:rFonts w:eastAsia="Times New Roman"/>
                <w:color w:val="000000"/>
              </w:rPr>
            </w:pPr>
            <w:r w:rsidRPr="00B26772">
              <w:rPr>
                <w:rFonts w:eastAsia="Times New Roman"/>
                <w:color w:val="000000"/>
              </w:rPr>
              <w:t>Pictograph Absent</w:t>
            </w:r>
          </w:p>
        </w:tc>
        <w:tc>
          <w:tcPr>
            <w:tcW w:w="270" w:type="dxa"/>
            <w:tcBorders>
              <w:top w:val="single" w:sz="8" w:space="0" w:color="auto"/>
              <w:left w:val="nil"/>
              <w:bottom w:val="nil"/>
              <w:right w:val="nil"/>
            </w:tcBorders>
            <w:shd w:val="clear" w:color="auto" w:fill="auto"/>
            <w:noWrap/>
            <w:vAlign w:val="bottom"/>
            <w:hideMark/>
          </w:tcPr>
          <w:p w14:paraId="5B574CF9" w14:textId="77777777" w:rsidR="00414A99" w:rsidRPr="00B26772" w:rsidRDefault="00414A99" w:rsidP="00775172">
            <w:pPr>
              <w:jc w:val="center"/>
              <w:rPr>
                <w:rFonts w:eastAsia="Times New Roman"/>
                <w:color w:val="000000"/>
              </w:rPr>
            </w:pPr>
          </w:p>
        </w:tc>
        <w:tc>
          <w:tcPr>
            <w:tcW w:w="2250" w:type="dxa"/>
            <w:gridSpan w:val="2"/>
            <w:tcBorders>
              <w:top w:val="single" w:sz="8" w:space="0" w:color="auto"/>
              <w:left w:val="nil"/>
              <w:bottom w:val="single" w:sz="4" w:space="0" w:color="auto"/>
              <w:right w:val="nil"/>
            </w:tcBorders>
            <w:shd w:val="clear" w:color="auto" w:fill="auto"/>
            <w:noWrap/>
            <w:vAlign w:val="bottom"/>
            <w:hideMark/>
          </w:tcPr>
          <w:p w14:paraId="3F30D895" w14:textId="77777777" w:rsidR="00414A99" w:rsidRPr="00B26772" w:rsidRDefault="00414A99" w:rsidP="00775172">
            <w:pPr>
              <w:jc w:val="center"/>
              <w:rPr>
                <w:rFonts w:eastAsia="Times New Roman"/>
                <w:color w:val="000000"/>
              </w:rPr>
            </w:pPr>
            <w:r w:rsidRPr="00B26772">
              <w:rPr>
                <w:rFonts w:eastAsia="Times New Roman"/>
                <w:color w:val="000000"/>
              </w:rPr>
              <w:t>Pictograph Present</w:t>
            </w:r>
          </w:p>
        </w:tc>
      </w:tr>
      <w:tr w:rsidR="00414A99" w:rsidRPr="00B26772" w14:paraId="11C03B07" w14:textId="77777777" w:rsidTr="004804F2">
        <w:trPr>
          <w:trHeight w:val="50"/>
        </w:trPr>
        <w:tc>
          <w:tcPr>
            <w:tcW w:w="1458" w:type="dxa"/>
            <w:tcBorders>
              <w:top w:val="nil"/>
              <w:left w:val="nil"/>
              <w:right w:val="nil"/>
            </w:tcBorders>
            <w:shd w:val="clear" w:color="auto" w:fill="auto"/>
            <w:noWrap/>
            <w:vAlign w:val="bottom"/>
            <w:hideMark/>
          </w:tcPr>
          <w:p w14:paraId="017F2F0B" w14:textId="77777777" w:rsidR="00414A99" w:rsidRPr="00B26772" w:rsidRDefault="00414A99" w:rsidP="00775172">
            <w:pPr>
              <w:jc w:val="center"/>
              <w:rPr>
                <w:rFonts w:eastAsia="Times New Roman"/>
                <w:color w:val="000000"/>
              </w:rPr>
            </w:pPr>
          </w:p>
        </w:tc>
        <w:tc>
          <w:tcPr>
            <w:tcW w:w="1620" w:type="dxa"/>
            <w:tcBorders>
              <w:top w:val="nil"/>
              <w:left w:val="nil"/>
              <w:right w:val="nil"/>
            </w:tcBorders>
            <w:shd w:val="clear" w:color="auto" w:fill="auto"/>
            <w:noWrap/>
            <w:vAlign w:val="bottom"/>
            <w:hideMark/>
          </w:tcPr>
          <w:p w14:paraId="073C5792" w14:textId="77777777" w:rsidR="00414A99" w:rsidRPr="00B26772" w:rsidRDefault="00414A99" w:rsidP="00775172">
            <w:pPr>
              <w:jc w:val="left"/>
              <w:rPr>
                <w:rFonts w:eastAsia="Times New Roman"/>
                <w:sz w:val="20"/>
                <w:szCs w:val="20"/>
              </w:rPr>
            </w:pPr>
          </w:p>
        </w:tc>
        <w:tc>
          <w:tcPr>
            <w:tcW w:w="1170" w:type="dxa"/>
            <w:tcBorders>
              <w:top w:val="nil"/>
              <w:left w:val="nil"/>
              <w:bottom w:val="nil"/>
              <w:right w:val="nil"/>
            </w:tcBorders>
            <w:shd w:val="clear" w:color="auto" w:fill="auto"/>
            <w:noWrap/>
            <w:vAlign w:val="bottom"/>
            <w:hideMark/>
          </w:tcPr>
          <w:p w14:paraId="30F833B7" w14:textId="77777777" w:rsidR="00414A99" w:rsidRPr="00B26772" w:rsidRDefault="00414A99" w:rsidP="00775172">
            <w:pPr>
              <w:jc w:val="left"/>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CE4B0E2" w14:textId="77777777" w:rsidR="00414A99" w:rsidRPr="00B26772" w:rsidRDefault="00414A99" w:rsidP="00775172">
            <w:pPr>
              <w:jc w:val="left"/>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C62B58B" w14:textId="77777777" w:rsidR="00414A99" w:rsidRPr="00B26772" w:rsidRDefault="00414A99" w:rsidP="00775172">
            <w:pPr>
              <w:jc w:val="left"/>
              <w:rPr>
                <w:rFonts w:eastAsia="Times New Roman"/>
                <w:sz w:val="20"/>
                <w:szCs w:val="20"/>
              </w:rPr>
            </w:pPr>
          </w:p>
        </w:tc>
        <w:tc>
          <w:tcPr>
            <w:tcW w:w="270" w:type="dxa"/>
            <w:tcBorders>
              <w:top w:val="nil"/>
              <w:left w:val="nil"/>
              <w:bottom w:val="nil"/>
              <w:right w:val="nil"/>
            </w:tcBorders>
            <w:shd w:val="clear" w:color="auto" w:fill="auto"/>
            <w:noWrap/>
            <w:vAlign w:val="bottom"/>
            <w:hideMark/>
          </w:tcPr>
          <w:p w14:paraId="61DB52C9" w14:textId="77777777" w:rsidR="00414A99" w:rsidRPr="00B26772" w:rsidRDefault="00414A99" w:rsidP="00775172">
            <w:pPr>
              <w:jc w:val="left"/>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603D930" w14:textId="77777777" w:rsidR="00414A99" w:rsidRPr="00B26772" w:rsidRDefault="00414A99" w:rsidP="00775172">
            <w:pPr>
              <w:jc w:val="left"/>
              <w:rPr>
                <w:rFonts w:eastAsia="Times New Roman"/>
                <w:sz w:val="20"/>
                <w:szCs w:val="20"/>
              </w:rPr>
            </w:pPr>
          </w:p>
        </w:tc>
        <w:tc>
          <w:tcPr>
            <w:tcW w:w="1170" w:type="dxa"/>
            <w:tcBorders>
              <w:top w:val="nil"/>
              <w:left w:val="nil"/>
              <w:bottom w:val="nil"/>
              <w:right w:val="nil"/>
            </w:tcBorders>
            <w:shd w:val="clear" w:color="auto" w:fill="auto"/>
            <w:noWrap/>
            <w:vAlign w:val="bottom"/>
            <w:hideMark/>
          </w:tcPr>
          <w:p w14:paraId="4CAFDD0E" w14:textId="77777777" w:rsidR="00414A99" w:rsidRPr="00B26772" w:rsidRDefault="00414A99" w:rsidP="00775172">
            <w:pPr>
              <w:jc w:val="left"/>
              <w:rPr>
                <w:rFonts w:eastAsia="Times New Roman"/>
                <w:sz w:val="20"/>
                <w:szCs w:val="20"/>
              </w:rPr>
            </w:pPr>
          </w:p>
        </w:tc>
      </w:tr>
      <w:tr w:rsidR="00414A99" w:rsidRPr="00B26772" w14:paraId="06782397" w14:textId="77777777" w:rsidTr="004804F2">
        <w:trPr>
          <w:trHeight w:val="477"/>
        </w:trPr>
        <w:tc>
          <w:tcPr>
            <w:tcW w:w="1458" w:type="dxa"/>
            <w:tcBorders>
              <w:top w:val="nil"/>
              <w:left w:val="nil"/>
              <w:bottom w:val="single" w:sz="4" w:space="0" w:color="auto"/>
              <w:right w:val="nil"/>
            </w:tcBorders>
            <w:shd w:val="clear" w:color="auto" w:fill="auto"/>
            <w:noWrap/>
            <w:vAlign w:val="bottom"/>
            <w:hideMark/>
          </w:tcPr>
          <w:p w14:paraId="16A54653" w14:textId="77777777" w:rsidR="00414A99" w:rsidRPr="00B26772" w:rsidRDefault="00414A99" w:rsidP="00775172">
            <w:pPr>
              <w:jc w:val="left"/>
              <w:rPr>
                <w:rFonts w:eastAsia="Times New Roman"/>
                <w:sz w:val="20"/>
                <w:szCs w:val="20"/>
              </w:rPr>
            </w:pPr>
          </w:p>
        </w:tc>
        <w:tc>
          <w:tcPr>
            <w:tcW w:w="1620" w:type="dxa"/>
            <w:tcBorders>
              <w:top w:val="nil"/>
              <w:left w:val="nil"/>
              <w:bottom w:val="single" w:sz="4" w:space="0" w:color="auto"/>
              <w:right w:val="nil"/>
            </w:tcBorders>
            <w:shd w:val="clear" w:color="auto" w:fill="auto"/>
            <w:vAlign w:val="bottom"/>
            <w:hideMark/>
          </w:tcPr>
          <w:p w14:paraId="5D879C44" w14:textId="2D7B2B62" w:rsidR="00414A99" w:rsidRPr="00B26772" w:rsidRDefault="00414A99" w:rsidP="00775172">
            <w:pPr>
              <w:jc w:val="center"/>
              <w:rPr>
                <w:rFonts w:eastAsia="Times New Roman"/>
                <w:color w:val="000000"/>
              </w:rPr>
            </w:pPr>
            <w:r w:rsidRPr="00B26772">
              <w:rPr>
                <w:rFonts w:eastAsia="Times New Roman"/>
                <w:color w:val="000000"/>
              </w:rPr>
              <w:t>Question</w:t>
            </w:r>
          </w:p>
        </w:tc>
        <w:tc>
          <w:tcPr>
            <w:tcW w:w="1170" w:type="dxa"/>
            <w:tcBorders>
              <w:top w:val="nil"/>
              <w:left w:val="nil"/>
              <w:bottom w:val="single" w:sz="4" w:space="0" w:color="auto"/>
              <w:right w:val="nil"/>
            </w:tcBorders>
            <w:shd w:val="clear" w:color="auto" w:fill="auto"/>
            <w:vAlign w:val="bottom"/>
            <w:hideMark/>
          </w:tcPr>
          <w:p w14:paraId="3682CCCC" w14:textId="540C54A7" w:rsidR="00414A99" w:rsidRPr="00B26772" w:rsidRDefault="00414A99" w:rsidP="00775172">
            <w:pPr>
              <w:jc w:val="center"/>
              <w:rPr>
                <w:rFonts w:eastAsia="Times New Roman"/>
                <w:color w:val="000000"/>
              </w:rPr>
            </w:pPr>
            <w:r w:rsidRPr="00B26772">
              <w:rPr>
                <w:rFonts w:eastAsia="Times New Roman"/>
                <w:color w:val="000000"/>
              </w:rPr>
              <w:t xml:space="preserve">Correct </w:t>
            </w:r>
            <w:r w:rsidR="001D1970">
              <w:rPr>
                <w:rFonts w:eastAsia="Times New Roman"/>
                <w:color w:val="000000"/>
              </w:rPr>
              <w:t>Response</w:t>
            </w:r>
          </w:p>
        </w:tc>
        <w:tc>
          <w:tcPr>
            <w:tcW w:w="1080" w:type="dxa"/>
            <w:tcBorders>
              <w:top w:val="nil"/>
              <w:left w:val="nil"/>
              <w:bottom w:val="single" w:sz="4" w:space="0" w:color="auto"/>
              <w:right w:val="nil"/>
            </w:tcBorders>
            <w:shd w:val="clear" w:color="auto" w:fill="auto"/>
            <w:vAlign w:val="bottom"/>
            <w:hideMark/>
          </w:tcPr>
          <w:p w14:paraId="52F77DC2" w14:textId="16272DB3" w:rsidR="00414A99" w:rsidRPr="00B26772" w:rsidRDefault="00414A99" w:rsidP="00775172">
            <w:pPr>
              <w:jc w:val="center"/>
              <w:rPr>
                <w:rFonts w:eastAsia="Times New Roman"/>
                <w:color w:val="000000"/>
              </w:rPr>
            </w:pPr>
            <w:r w:rsidRPr="00B26772">
              <w:rPr>
                <w:rFonts w:eastAsia="Times New Roman"/>
                <w:color w:val="000000"/>
              </w:rPr>
              <w:t xml:space="preserve">Mean </w:t>
            </w:r>
            <w:r w:rsidR="008F557E">
              <w:rPr>
                <w:rFonts w:eastAsia="Times New Roman"/>
                <w:color w:val="000000"/>
              </w:rPr>
              <w:t>Estimate</w:t>
            </w:r>
            <w:r w:rsidRPr="00B26772">
              <w:rPr>
                <w:rFonts w:eastAsia="Times New Roman"/>
                <w:color w:val="000000"/>
              </w:rPr>
              <w:t xml:space="preserve"> </w:t>
            </w:r>
          </w:p>
        </w:tc>
        <w:tc>
          <w:tcPr>
            <w:tcW w:w="990" w:type="dxa"/>
            <w:tcBorders>
              <w:top w:val="nil"/>
              <w:left w:val="nil"/>
              <w:bottom w:val="single" w:sz="4" w:space="0" w:color="auto"/>
              <w:right w:val="nil"/>
            </w:tcBorders>
            <w:shd w:val="clear" w:color="auto" w:fill="auto"/>
            <w:vAlign w:val="bottom"/>
            <w:hideMark/>
          </w:tcPr>
          <w:p w14:paraId="7BA05889" w14:textId="7B25445F" w:rsidR="00414A99" w:rsidRPr="00B26772" w:rsidRDefault="00414A99" w:rsidP="00775172">
            <w:pPr>
              <w:jc w:val="center"/>
              <w:rPr>
                <w:rFonts w:eastAsia="Times New Roman"/>
                <w:color w:val="000000"/>
              </w:rPr>
            </w:pPr>
            <w:r w:rsidRPr="00B26772">
              <w:rPr>
                <w:rFonts w:eastAsia="Times New Roman"/>
                <w:color w:val="000000"/>
              </w:rPr>
              <w:t>Percent Correct</w:t>
            </w:r>
            <w:r w:rsidR="00FC792F">
              <w:rPr>
                <w:rFonts w:eastAsia="Times New Roman"/>
                <w:color w:val="000000"/>
              </w:rPr>
              <w:t xml:space="preserve"> </w:t>
            </w:r>
          </w:p>
        </w:tc>
        <w:tc>
          <w:tcPr>
            <w:tcW w:w="270" w:type="dxa"/>
            <w:tcBorders>
              <w:top w:val="nil"/>
              <w:left w:val="nil"/>
              <w:bottom w:val="single" w:sz="4" w:space="0" w:color="auto"/>
              <w:right w:val="nil"/>
            </w:tcBorders>
            <w:shd w:val="clear" w:color="auto" w:fill="auto"/>
            <w:vAlign w:val="bottom"/>
            <w:hideMark/>
          </w:tcPr>
          <w:p w14:paraId="51717089" w14:textId="77777777" w:rsidR="00414A99" w:rsidRPr="00B26772" w:rsidRDefault="00414A99" w:rsidP="00775172">
            <w:pPr>
              <w:jc w:val="center"/>
              <w:rPr>
                <w:rFonts w:eastAsia="Times New Roman"/>
                <w:color w:val="000000"/>
              </w:rPr>
            </w:pPr>
            <w:r w:rsidRPr="00B26772">
              <w:rPr>
                <w:rFonts w:eastAsia="Times New Roman"/>
                <w:color w:val="000000"/>
              </w:rPr>
              <w:t> </w:t>
            </w:r>
          </w:p>
        </w:tc>
        <w:tc>
          <w:tcPr>
            <w:tcW w:w="1080" w:type="dxa"/>
            <w:tcBorders>
              <w:top w:val="nil"/>
              <w:left w:val="nil"/>
              <w:bottom w:val="single" w:sz="4" w:space="0" w:color="auto"/>
              <w:right w:val="nil"/>
            </w:tcBorders>
            <w:shd w:val="clear" w:color="auto" w:fill="auto"/>
            <w:vAlign w:val="bottom"/>
            <w:hideMark/>
          </w:tcPr>
          <w:p w14:paraId="07F71FD9" w14:textId="4D52ADAC" w:rsidR="00414A99" w:rsidRPr="00B26772" w:rsidRDefault="00414A99" w:rsidP="00775172">
            <w:pPr>
              <w:jc w:val="center"/>
              <w:rPr>
                <w:rFonts w:eastAsia="Times New Roman"/>
                <w:color w:val="000000"/>
              </w:rPr>
            </w:pPr>
            <w:r w:rsidRPr="00B26772">
              <w:rPr>
                <w:rFonts w:eastAsia="Times New Roman"/>
                <w:color w:val="000000"/>
              </w:rPr>
              <w:t xml:space="preserve">Mean </w:t>
            </w:r>
            <w:r w:rsidR="008F557E">
              <w:rPr>
                <w:rFonts w:eastAsia="Times New Roman"/>
                <w:color w:val="000000"/>
              </w:rPr>
              <w:t>Estimate</w:t>
            </w:r>
            <w:r w:rsidRPr="00B26772">
              <w:rPr>
                <w:rFonts w:eastAsia="Times New Roman"/>
                <w:color w:val="000000"/>
              </w:rPr>
              <w:t xml:space="preserve"> </w:t>
            </w:r>
          </w:p>
        </w:tc>
        <w:tc>
          <w:tcPr>
            <w:tcW w:w="1170" w:type="dxa"/>
            <w:tcBorders>
              <w:top w:val="nil"/>
              <w:left w:val="nil"/>
              <w:bottom w:val="single" w:sz="4" w:space="0" w:color="auto"/>
              <w:right w:val="nil"/>
            </w:tcBorders>
            <w:shd w:val="clear" w:color="auto" w:fill="auto"/>
            <w:vAlign w:val="bottom"/>
            <w:hideMark/>
          </w:tcPr>
          <w:p w14:paraId="2E8D86C6" w14:textId="77777777" w:rsidR="00414A99" w:rsidRPr="00B26772" w:rsidRDefault="00414A99" w:rsidP="00775172">
            <w:pPr>
              <w:jc w:val="center"/>
              <w:rPr>
                <w:rFonts w:eastAsia="Times New Roman"/>
                <w:color w:val="000000"/>
              </w:rPr>
            </w:pPr>
            <w:r w:rsidRPr="00B26772">
              <w:rPr>
                <w:rFonts w:eastAsia="Times New Roman"/>
                <w:color w:val="000000"/>
              </w:rPr>
              <w:t>Percent Correct</w:t>
            </w:r>
          </w:p>
        </w:tc>
      </w:tr>
      <w:tr w:rsidR="00414A99" w:rsidRPr="00B26772" w14:paraId="4D0AED90" w14:textId="77777777" w:rsidTr="004804F2">
        <w:trPr>
          <w:trHeight w:val="350"/>
        </w:trPr>
        <w:tc>
          <w:tcPr>
            <w:tcW w:w="1458" w:type="dxa"/>
            <w:tcBorders>
              <w:top w:val="single" w:sz="4" w:space="0" w:color="auto"/>
              <w:left w:val="nil"/>
              <w:bottom w:val="single" w:sz="4" w:space="0" w:color="auto"/>
              <w:right w:val="nil"/>
            </w:tcBorders>
            <w:shd w:val="clear" w:color="auto" w:fill="auto"/>
            <w:vAlign w:val="center"/>
            <w:hideMark/>
          </w:tcPr>
          <w:p w14:paraId="49F9FA2C" w14:textId="77777777" w:rsidR="00414A99" w:rsidRPr="00B26772" w:rsidRDefault="00414A99" w:rsidP="00775172">
            <w:pPr>
              <w:jc w:val="left"/>
              <w:rPr>
                <w:rFonts w:eastAsia="Times New Roman"/>
                <w:color w:val="000000"/>
              </w:rPr>
            </w:pPr>
            <w:r w:rsidRPr="00B26772">
              <w:rPr>
                <w:rFonts w:eastAsia="Times New Roman"/>
                <w:color w:val="000000"/>
              </w:rPr>
              <w:t xml:space="preserve">Single-Risk Condition </w:t>
            </w:r>
          </w:p>
        </w:tc>
        <w:tc>
          <w:tcPr>
            <w:tcW w:w="1620" w:type="dxa"/>
            <w:tcBorders>
              <w:top w:val="single" w:sz="4" w:space="0" w:color="auto"/>
              <w:left w:val="nil"/>
              <w:bottom w:val="single" w:sz="4" w:space="0" w:color="auto"/>
              <w:right w:val="nil"/>
            </w:tcBorders>
            <w:shd w:val="clear" w:color="auto" w:fill="auto"/>
            <w:vAlign w:val="center"/>
            <w:hideMark/>
          </w:tcPr>
          <w:p w14:paraId="15FF4B2B" w14:textId="7DBA742B" w:rsidR="00414A99" w:rsidRPr="00B26772" w:rsidRDefault="00414A99" w:rsidP="00775172">
            <w:pPr>
              <w:jc w:val="center"/>
              <w:rPr>
                <w:rFonts w:eastAsia="Times New Roman"/>
                <w:color w:val="000000"/>
              </w:rPr>
            </w:pPr>
            <w:r w:rsidRPr="00B26772">
              <w:rPr>
                <w:rFonts w:eastAsia="Times New Roman"/>
                <w:color w:val="000000"/>
              </w:rPr>
              <w:t xml:space="preserve">Mild Fever      </w:t>
            </w:r>
          </w:p>
        </w:tc>
        <w:tc>
          <w:tcPr>
            <w:tcW w:w="1170" w:type="dxa"/>
            <w:tcBorders>
              <w:top w:val="nil"/>
              <w:left w:val="nil"/>
              <w:bottom w:val="single" w:sz="4" w:space="0" w:color="auto"/>
              <w:right w:val="nil"/>
            </w:tcBorders>
            <w:shd w:val="clear" w:color="auto" w:fill="auto"/>
            <w:noWrap/>
            <w:vAlign w:val="center"/>
            <w:hideMark/>
          </w:tcPr>
          <w:p w14:paraId="7DF37AA6" w14:textId="77777777" w:rsidR="00414A99" w:rsidRPr="00B26772" w:rsidRDefault="00414A99" w:rsidP="00775172">
            <w:pPr>
              <w:jc w:val="center"/>
              <w:rPr>
                <w:rFonts w:eastAsia="Times New Roman"/>
                <w:color w:val="000000"/>
              </w:rPr>
            </w:pPr>
            <w:r w:rsidRPr="00B26772">
              <w:rPr>
                <w:rFonts w:eastAsia="Times New Roman"/>
                <w:color w:val="000000"/>
              </w:rPr>
              <w:t>200</w:t>
            </w:r>
          </w:p>
        </w:tc>
        <w:tc>
          <w:tcPr>
            <w:tcW w:w="1080" w:type="dxa"/>
            <w:tcBorders>
              <w:top w:val="nil"/>
              <w:left w:val="nil"/>
              <w:bottom w:val="single" w:sz="4" w:space="0" w:color="auto"/>
              <w:right w:val="nil"/>
            </w:tcBorders>
            <w:shd w:val="clear" w:color="auto" w:fill="auto"/>
            <w:noWrap/>
            <w:vAlign w:val="center"/>
            <w:hideMark/>
          </w:tcPr>
          <w:p w14:paraId="00B51DD5" w14:textId="2F32AEB4" w:rsidR="00414A99" w:rsidRPr="00B26772" w:rsidRDefault="00414A99" w:rsidP="00775172">
            <w:pPr>
              <w:jc w:val="center"/>
              <w:rPr>
                <w:rFonts w:eastAsia="Times New Roman"/>
                <w:color w:val="000000"/>
              </w:rPr>
            </w:pPr>
            <w:r w:rsidRPr="00B26772">
              <w:rPr>
                <w:rFonts w:eastAsia="Times New Roman"/>
                <w:color w:val="000000"/>
              </w:rPr>
              <w:t xml:space="preserve">179.79 </w:t>
            </w:r>
          </w:p>
        </w:tc>
        <w:tc>
          <w:tcPr>
            <w:tcW w:w="990" w:type="dxa"/>
            <w:tcBorders>
              <w:top w:val="nil"/>
              <w:left w:val="nil"/>
              <w:bottom w:val="single" w:sz="4" w:space="0" w:color="auto"/>
              <w:right w:val="nil"/>
            </w:tcBorders>
            <w:shd w:val="clear" w:color="auto" w:fill="auto"/>
            <w:noWrap/>
            <w:vAlign w:val="center"/>
            <w:hideMark/>
          </w:tcPr>
          <w:p w14:paraId="3F461AAB" w14:textId="77777777" w:rsidR="00414A99" w:rsidRPr="00B26772" w:rsidRDefault="00414A99" w:rsidP="00775172">
            <w:pPr>
              <w:jc w:val="center"/>
              <w:rPr>
                <w:rFonts w:eastAsia="Times New Roman"/>
                <w:color w:val="000000"/>
              </w:rPr>
            </w:pPr>
            <w:r w:rsidRPr="00B26772">
              <w:rPr>
                <w:rFonts w:eastAsia="Times New Roman"/>
                <w:color w:val="000000"/>
              </w:rPr>
              <w:t>80.60%</w:t>
            </w:r>
          </w:p>
        </w:tc>
        <w:tc>
          <w:tcPr>
            <w:tcW w:w="270" w:type="dxa"/>
            <w:tcBorders>
              <w:top w:val="nil"/>
              <w:left w:val="nil"/>
              <w:bottom w:val="single" w:sz="4" w:space="0" w:color="auto"/>
              <w:right w:val="nil"/>
            </w:tcBorders>
            <w:shd w:val="clear" w:color="auto" w:fill="auto"/>
            <w:noWrap/>
            <w:vAlign w:val="center"/>
            <w:hideMark/>
          </w:tcPr>
          <w:p w14:paraId="7F79E4FD" w14:textId="77777777" w:rsidR="00414A99" w:rsidRPr="00B26772" w:rsidRDefault="00414A99" w:rsidP="00775172">
            <w:pPr>
              <w:jc w:val="center"/>
              <w:rPr>
                <w:rFonts w:eastAsia="Times New Roman"/>
                <w:color w:val="000000"/>
              </w:rPr>
            </w:pPr>
            <w:r w:rsidRPr="00B26772">
              <w:rPr>
                <w:rFonts w:eastAsia="Times New Roman"/>
                <w:color w:val="000000"/>
              </w:rPr>
              <w:t> </w:t>
            </w:r>
          </w:p>
        </w:tc>
        <w:tc>
          <w:tcPr>
            <w:tcW w:w="1080" w:type="dxa"/>
            <w:tcBorders>
              <w:top w:val="nil"/>
              <w:left w:val="nil"/>
              <w:bottom w:val="single" w:sz="4" w:space="0" w:color="auto"/>
              <w:right w:val="nil"/>
            </w:tcBorders>
            <w:shd w:val="clear" w:color="auto" w:fill="auto"/>
            <w:noWrap/>
            <w:vAlign w:val="center"/>
            <w:hideMark/>
          </w:tcPr>
          <w:p w14:paraId="0252C589" w14:textId="1812BC0C" w:rsidR="00414A99" w:rsidRPr="00B26772" w:rsidRDefault="00414A99" w:rsidP="00775172">
            <w:pPr>
              <w:jc w:val="center"/>
              <w:rPr>
                <w:rFonts w:eastAsia="Times New Roman"/>
                <w:color w:val="000000"/>
              </w:rPr>
            </w:pPr>
            <w:r w:rsidRPr="00B26772">
              <w:rPr>
                <w:rFonts w:eastAsia="Times New Roman"/>
                <w:color w:val="000000"/>
              </w:rPr>
              <w:t xml:space="preserve">186.28 </w:t>
            </w:r>
          </w:p>
        </w:tc>
        <w:tc>
          <w:tcPr>
            <w:tcW w:w="1170" w:type="dxa"/>
            <w:tcBorders>
              <w:top w:val="nil"/>
              <w:left w:val="nil"/>
              <w:bottom w:val="single" w:sz="4" w:space="0" w:color="auto"/>
              <w:right w:val="nil"/>
            </w:tcBorders>
            <w:shd w:val="clear" w:color="auto" w:fill="auto"/>
            <w:noWrap/>
            <w:vAlign w:val="center"/>
            <w:hideMark/>
          </w:tcPr>
          <w:p w14:paraId="3C70C38E" w14:textId="77777777" w:rsidR="00414A99" w:rsidRPr="00B26772" w:rsidRDefault="00414A99" w:rsidP="00775172">
            <w:pPr>
              <w:jc w:val="center"/>
              <w:rPr>
                <w:rFonts w:eastAsia="Times New Roman"/>
                <w:color w:val="000000"/>
              </w:rPr>
            </w:pPr>
            <w:r w:rsidRPr="00B26772">
              <w:rPr>
                <w:rFonts w:eastAsia="Times New Roman"/>
                <w:color w:val="000000"/>
              </w:rPr>
              <w:t>83.8%</w:t>
            </w:r>
          </w:p>
        </w:tc>
      </w:tr>
      <w:tr w:rsidR="00414A99" w:rsidRPr="00B26772" w14:paraId="0C1EAE2E" w14:textId="77777777" w:rsidTr="004804F2">
        <w:trPr>
          <w:trHeight w:val="323"/>
        </w:trPr>
        <w:tc>
          <w:tcPr>
            <w:tcW w:w="1458" w:type="dxa"/>
            <w:vMerge w:val="restart"/>
            <w:tcBorders>
              <w:top w:val="nil"/>
              <w:left w:val="nil"/>
              <w:bottom w:val="single" w:sz="4" w:space="0" w:color="000000"/>
              <w:right w:val="nil"/>
            </w:tcBorders>
            <w:shd w:val="clear" w:color="auto" w:fill="auto"/>
            <w:vAlign w:val="center"/>
            <w:hideMark/>
          </w:tcPr>
          <w:p w14:paraId="37488907" w14:textId="77777777" w:rsidR="00414A99" w:rsidRPr="00B26772" w:rsidRDefault="00414A99" w:rsidP="00775172">
            <w:pPr>
              <w:jc w:val="left"/>
              <w:rPr>
                <w:rFonts w:eastAsia="Times New Roman"/>
                <w:color w:val="000000"/>
              </w:rPr>
            </w:pPr>
            <w:r w:rsidRPr="00B26772">
              <w:rPr>
                <w:rFonts w:eastAsia="Times New Roman"/>
                <w:color w:val="000000"/>
              </w:rPr>
              <w:t>Multiple-Risk Condition</w:t>
            </w:r>
          </w:p>
        </w:tc>
        <w:tc>
          <w:tcPr>
            <w:tcW w:w="1620" w:type="dxa"/>
            <w:tcBorders>
              <w:top w:val="nil"/>
              <w:left w:val="nil"/>
              <w:bottom w:val="nil"/>
              <w:right w:val="nil"/>
            </w:tcBorders>
            <w:shd w:val="clear" w:color="auto" w:fill="auto"/>
            <w:vAlign w:val="center"/>
            <w:hideMark/>
          </w:tcPr>
          <w:p w14:paraId="74BD919B" w14:textId="03340910" w:rsidR="00414A99" w:rsidRPr="00B26772" w:rsidRDefault="00414A99" w:rsidP="00775172">
            <w:pPr>
              <w:jc w:val="center"/>
              <w:rPr>
                <w:rFonts w:eastAsia="Times New Roman"/>
                <w:color w:val="000000"/>
              </w:rPr>
            </w:pPr>
            <w:r w:rsidRPr="00B26772">
              <w:rPr>
                <w:rFonts w:eastAsia="Times New Roman"/>
                <w:color w:val="000000"/>
              </w:rPr>
              <w:t xml:space="preserve">Mild Fever      </w:t>
            </w:r>
          </w:p>
        </w:tc>
        <w:tc>
          <w:tcPr>
            <w:tcW w:w="1170" w:type="dxa"/>
            <w:tcBorders>
              <w:top w:val="nil"/>
              <w:left w:val="nil"/>
              <w:bottom w:val="nil"/>
              <w:right w:val="nil"/>
            </w:tcBorders>
            <w:shd w:val="clear" w:color="auto" w:fill="auto"/>
            <w:noWrap/>
            <w:vAlign w:val="center"/>
            <w:hideMark/>
          </w:tcPr>
          <w:p w14:paraId="2787CCC3" w14:textId="77777777" w:rsidR="00414A99" w:rsidRPr="00B26772" w:rsidRDefault="00414A99" w:rsidP="00775172">
            <w:pPr>
              <w:jc w:val="center"/>
              <w:rPr>
                <w:rFonts w:eastAsia="Times New Roman"/>
                <w:color w:val="000000"/>
              </w:rPr>
            </w:pPr>
            <w:r w:rsidRPr="00B26772">
              <w:rPr>
                <w:rFonts w:eastAsia="Times New Roman"/>
                <w:color w:val="000000"/>
              </w:rPr>
              <w:t>200</w:t>
            </w:r>
          </w:p>
        </w:tc>
        <w:tc>
          <w:tcPr>
            <w:tcW w:w="1080" w:type="dxa"/>
            <w:tcBorders>
              <w:top w:val="nil"/>
              <w:left w:val="nil"/>
              <w:bottom w:val="nil"/>
              <w:right w:val="nil"/>
            </w:tcBorders>
            <w:shd w:val="clear" w:color="auto" w:fill="auto"/>
            <w:noWrap/>
            <w:vAlign w:val="center"/>
            <w:hideMark/>
          </w:tcPr>
          <w:p w14:paraId="1FC72C95" w14:textId="4BF91078" w:rsidR="00414A99" w:rsidRPr="00B26772" w:rsidRDefault="00414A99" w:rsidP="00775172">
            <w:pPr>
              <w:jc w:val="center"/>
              <w:rPr>
                <w:rFonts w:eastAsia="Times New Roman"/>
                <w:color w:val="000000"/>
              </w:rPr>
            </w:pPr>
            <w:r w:rsidRPr="00B26772">
              <w:rPr>
                <w:rFonts w:eastAsia="Times New Roman"/>
                <w:color w:val="000000"/>
              </w:rPr>
              <w:t xml:space="preserve">198.31 </w:t>
            </w:r>
          </w:p>
        </w:tc>
        <w:tc>
          <w:tcPr>
            <w:tcW w:w="990" w:type="dxa"/>
            <w:tcBorders>
              <w:top w:val="nil"/>
              <w:left w:val="nil"/>
              <w:bottom w:val="nil"/>
              <w:right w:val="nil"/>
            </w:tcBorders>
            <w:shd w:val="clear" w:color="auto" w:fill="auto"/>
            <w:noWrap/>
            <w:vAlign w:val="center"/>
            <w:hideMark/>
          </w:tcPr>
          <w:p w14:paraId="37061E81" w14:textId="77777777" w:rsidR="00414A99" w:rsidRPr="00B26772" w:rsidRDefault="00414A99" w:rsidP="00775172">
            <w:pPr>
              <w:jc w:val="center"/>
              <w:rPr>
                <w:rFonts w:eastAsia="Times New Roman"/>
                <w:color w:val="000000"/>
              </w:rPr>
            </w:pPr>
            <w:r w:rsidRPr="00B26772">
              <w:rPr>
                <w:rFonts w:eastAsia="Times New Roman"/>
                <w:color w:val="000000"/>
              </w:rPr>
              <w:t>75.0%</w:t>
            </w:r>
          </w:p>
        </w:tc>
        <w:tc>
          <w:tcPr>
            <w:tcW w:w="270" w:type="dxa"/>
            <w:tcBorders>
              <w:top w:val="nil"/>
              <w:left w:val="nil"/>
              <w:bottom w:val="nil"/>
              <w:right w:val="nil"/>
            </w:tcBorders>
            <w:shd w:val="clear" w:color="auto" w:fill="auto"/>
            <w:noWrap/>
            <w:vAlign w:val="center"/>
            <w:hideMark/>
          </w:tcPr>
          <w:p w14:paraId="00CD148E" w14:textId="77777777" w:rsidR="00414A99" w:rsidRPr="00B26772" w:rsidRDefault="00414A99" w:rsidP="00775172">
            <w:pPr>
              <w:jc w:val="center"/>
              <w:rPr>
                <w:rFonts w:eastAsia="Times New Roman"/>
                <w:color w:val="000000"/>
              </w:rPr>
            </w:pPr>
          </w:p>
        </w:tc>
        <w:tc>
          <w:tcPr>
            <w:tcW w:w="1080" w:type="dxa"/>
            <w:tcBorders>
              <w:top w:val="nil"/>
              <w:left w:val="nil"/>
              <w:bottom w:val="nil"/>
              <w:right w:val="nil"/>
            </w:tcBorders>
            <w:shd w:val="clear" w:color="auto" w:fill="auto"/>
            <w:noWrap/>
            <w:vAlign w:val="center"/>
            <w:hideMark/>
          </w:tcPr>
          <w:p w14:paraId="569A4F52" w14:textId="04108C30" w:rsidR="00414A99" w:rsidRPr="00B26772" w:rsidRDefault="00414A99" w:rsidP="00775172">
            <w:pPr>
              <w:jc w:val="center"/>
              <w:rPr>
                <w:rFonts w:eastAsia="Times New Roman"/>
                <w:color w:val="000000"/>
              </w:rPr>
            </w:pPr>
            <w:r w:rsidRPr="00B26772">
              <w:rPr>
                <w:rFonts w:eastAsia="Times New Roman"/>
                <w:color w:val="000000"/>
              </w:rPr>
              <w:t xml:space="preserve">201.43 </w:t>
            </w:r>
          </w:p>
        </w:tc>
        <w:tc>
          <w:tcPr>
            <w:tcW w:w="1170" w:type="dxa"/>
            <w:tcBorders>
              <w:top w:val="nil"/>
              <w:left w:val="nil"/>
              <w:bottom w:val="nil"/>
              <w:right w:val="nil"/>
            </w:tcBorders>
            <w:shd w:val="clear" w:color="auto" w:fill="auto"/>
            <w:noWrap/>
            <w:vAlign w:val="center"/>
            <w:hideMark/>
          </w:tcPr>
          <w:p w14:paraId="78E1DE6B" w14:textId="77777777" w:rsidR="00414A99" w:rsidRPr="00B26772" w:rsidRDefault="00414A99" w:rsidP="00775172">
            <w:pPr>
              <w:jc w:val="center"/>
              <w:rPr>
                <w:rFonts w:eastAsia="Times New Roman"/>
                <w:color w:val="000000"/>
              </w:rPr>
            </w:pPr>
            <w:r w:rsidRPr="00B26772">
              <w:rPr>
                <w:rFonts w:eastAsia="Times New Roman"/>
                <w:color w:val="000000"/>
              </w:rPr>
              <w:t>87.1%</w:t>
            </w:r>
          </w:p>
        </w:tc>
      </w:tr>
      <w:tr w:rsidR="00414A99" w:rsidRPr="00B26772" w14:paraId="3EB1974C" w14:textId="77777777" w:rsidTr="004804F2">
        <w:trPr>
          <w:trHeight w:val="170"/>
        </w:trPr>
        <w:tc>
          <w:tcPr>
            <w:tcW w:w="1458" w:type="dxa"/>
            <w:vMerge/>
            <w:tcBorders>
              <w:top w:val="nil"/>
              <w:left w:val="nil"/>
              <w:bottom w:val="single" w:sz="4" w:space="0" w:color="000000"/>
              <w:right w:val="nil"/>
            </w:tcBorders>
            <w:vAlign w:val="center"/>
            <w:hideMark/>
          </w:tcPr>
          <w:p w14:paraId="100CBF34" w14:textId="77777777" w:rsidR="00414A99" w:rsidRPr="00B26772" w:rsidRDefault="00414A99" w:rsidP="00775172">
            <w:pPr>
              <w:jc w:val="left"/>
              <w:rPr>
                <w:rFonts w:eastAsia="Times New Roman"/>
                <w:color w:val="000000"/>
              </w:rPr>
            </w:pPr>
          </w:p>
        </w:tc>
        <w:tc>
          <w:tcPr>
            <w:tcW w:w="1620" w:type="dxa"/>
            <w:tcBorders>
              <w:top w:val="nil"/>
              <w:left w:val="nil"/>
              <w:bottom w:val="nil"/>
              <w:right w:val="nil"/>
            </w:tcBorders>
            <w:shd w:val="clear" w:color="auto" w:fill="auto"/>
            <w:vAlign w:val="center"/>
            <w:hideMark/>
          </w:tcPr>
          <w:p w14:paraId="540FF2F9" w14:textId="37A03632" w:rsidR="00414A99" w:rsidRPr="00B26772" w:rsidRDefault="00414A99" w:rsidP="00775172">
            <w:pPr>
              <w:jc w:val="center"/>
              <w:rPr>
                <w:rFonts w:eastAsia="Times New Roman"/>
                <w:color w:val="000000"/>
              </w:rPr>
            </w:pPr>
            <w:r w:rsidRPr="00B26772">
              <w:rPr>
                <w:rFonts w:eastAsia="Times New Roman"/>
                <w:color w:val="000000"/>
              </w:rPr>
              <w:t xml:space="preserve">Poor Appetite </w:t>
            </w:r>
          </w:p>
        </w:tc>
        <w:tc>
          <w:tcPr>
            <w:tcW w:w="1170" w:type="dxa"/>
            <w:tcBorders>
              <w:top w:val="nil"/>
              <w:left w:val="nil"/>
              <w:bottom w:val="nil"/>
              <w:right w:val="nil"/>
            </w:tcBorders>
            <w:shd w:val="clear" w:color="auto" w:fill="auto"/>
            <w:noWrap/>
            <w:vAlign w:val="center"/>
            <w:hideMark/>
          </w:tcPr>
          <w:p w14:paraId="02E9266F" w14:textId="77777777" w:rsidR="00414A99" w:rsidRPr="00B26772" w:rsidRDefault="00414A99" w:rsidP="00775172">
            <w:pPr>
              <w:jc w:val="center"/>
              <w:rPr>
                <w:rFonts w:eastAsia="Times New Roman"/>
                <w:color w:val="000000"/>
              </w:rPr>
            </w:pPr>
            <w:r w:rsidRPr="00B26772">
              <w:rPr>
                <w:rFonts w:eastAsia="Times New Roman"/>
                <w:color w:val="000000"/>
              </w:rPr>
              <w:t>100</w:t>
            </w:r>
          </w:p>
        </w:tc>
        <w:tc>
          <w:tcPr>
            <w:tcW w:w="1080" w:type="dxa"/>
            <w:tcBorders>
              <w:top w:val="nil"/>
              <w:left w:val="nil"/>
              <w:bottom w:val="nil"/>
              <w:right w:val="nil"/>
            </w:tcBorders>
            <w:shd w:val="clear" w:color="auto" w:fill="auto"/>
            <w:noWrap/>
            <w:vAlign w:val="center"/>
            <w:hideMark/>
          </w:tcPr>
          <w:p w14:paraId="457419FC" w14:textId="0E7F58F5" w:rsidR="00414A99" w:rsidRPr="00B26772" w:rsidRDefault="00414A99" w:rsidP="00775172">
            <w:pPr>
              <w:jc w:val="center"/>
              <w:rPr>
                <w:rFonts w:eastAsia="Times New Roman"/>
                <w:color w:val="000000"/>
              </w:rPr>
            </w:pPr>
            <w:r w:rsidRPr="00B26772">
              <w:rPr>
                <w:rFonts w:eastAsia="Times New Roman"/>
                <w:color w:val="000000"/>
              </w:rPr>
              <w:t xml:space="preserve">98.94 </w:t>
            </w:r>
          </w:p>
        </w:tc>
        <w:tc>
          <w:tcPr>
            <w:tcW w:w="990" w:type="dxa"/>
            <w:tcBorders>
              <w:top w:val="nil"/>
              <w:left w:val="nil"/>
              <w:bottom w:val="nil"/>
              <w:right w:val="nil"/>
            </w:tcBorders>
            <w:shd w:val="clear" w:color="auto" w:fill="auto"/>
            <w:noWrap/>
            <w:vAlign w:val="center"/>
            <w:hideMark/>
          </w:tcPr>
          <w:p w14:paraId="1215B217" w14:textId="77777777" w:rsidR="00414A99" w:rsidRPr="00B26772" w:rsidRDefault="00414A99" w:rsidP="00775172">
            <w:pPr>
              <w:jc w:val="center"/>
              <w:rPr>
                <w:rFonts w:eastAsia="Times New Roman"/>
                <w:color w:val="000000"/>
              </w:rPr>
            </w:pPr>
            <w:r w:rsidRPr="00B26772">
              <w:rPr>
                <w:rFonts w:eastAsia="Times New Roman"/>
                <w:color w:val="000000"/>
              </w:rPr>
              <w:t>81.9%</w:t>
            </w:r>
          </w:p>
        </w:tc>
        <w:tc>
          <w:tcPr>
            <w:tcW w:w="270" w:type="dxa"/>
            <w:tcBorders>
              <w:top w:val="nil"/>
              <w:left w:val="nil"/>
              <w:bottom w:val="nil"/>
              <w:right w:val="nil"/>
            </w:tcBorders>
            <w:shd w:val="clear" w:color="auto" w:fill="auto"/>
            <w:noWrap/>
            <w:vAlign w:val="center"/>
            <w:hideMark/>
          </w:tcPr>
          <w:p w14:paraId="655DE928" w14:textId="77777777" w:rsidR="00414A99" w:rsidRPr="00B26772" w:rsidRDefault="00414A99" w:rsidP="00775172">
            <w:pPr>
              <w:jc w:val="center"/>
              <w:rPr>
                <w:rFonts w:eastAsia="Times New Roman"/>
                <w:color w:val="000000"/>
              </w:rPr>
            </w:pPr>
          </w:p>
        </w:tc>
        <w:tc>
          <w:tcPr>
            <w:tcW w:w="1080" w:type="dxa"/>
            <w:tcBorders>
              <w:top w:val="nil"/>
              <w:left w:val="nil"/>
              <w:bottom w:val="nil"/>
              <w:right w:val="nil"/>
            </w:tcBorders>
            <w:shd w:val="clear" w:color="auto" w:fill="auto"/>
            <w:noWrap/>
            <w:vAlign w:val="center"/>
            <w:hideMark/>
          </w:tcPr>
          <w:p w14:paraId="5EC68456" w14:textId="37FFD8FA" w:rsidR="00414A99" w:rsidRPr="00B26772" w:rsidRDefault="00414A99" w:rsidP="00775172">
            <w:pPr>
              <w:jc w:val="center"/>
              <w:rPr>
                <w:rFonts w:eastAsia="Times New Roman"/>
                <w:color w:val="000000"/>
              </w:rPr>
            </w:pPr>
            <w:r w:rsidRPr="00B26772">
              <w:rPr>
                <w:rFonts w:eastAsia="Times New Roman"/>
                <w:color w:val="000000"/>
              </w:rPr>
              <w:t xml:space="preserve">111.29 </w:t>
            </w:r>
          </w:p>
        </w:tc>
        <w:tc>
          <w:tcPr>
            <w:tcW w:w="1170" w:type="dxa"/>
            <w:tcBorders>
              <w:top w:val="nil"/>
              <w:left w:val="nil"/>
              <w:bottom w:val="nil"/>
              <w:right w:val="nil"/>
            </w:tcBorders>
            <w:shd w:val="clear" w:color="auto" w:fill="auto"/>
            <w:noWrap/>
            <w:vAlign w:val="center"/>
            <w:hideMark/>
          </w:tcPr>
          <w:p w14:paraId="00CFCB29" w14:textId="77777777" w:rsidR="00414A99" w:rsidRPr="00B26772" w:rsidRDefault="00414A99" w:rsidP="00775172">
            <w:pPr>
              <w:jc w:val="center"/>
              <w:rPr>
                <w:rFonts w:eastAsia="Times New Roman"/>
                <w:color w:val="000000"/>
              </w:rPr>
            </w:pPr>
            <w:r w:rsidRPr="00B26772">
              <w:rPr>
                <w:rFonts w:eastAsia="Times New Roman"/>
                <w:color w:val="000000"/>
              </w:rPr>
              <w:t>92.9%</w:t>
            </w:r>
          </w:p>
        </w:tc>
      </w:tr>
      <w:tr w:rsidR="00414A99" w:rsidRPr="00B26772" w14:paraId="248D32D3" w14:textId="77777777" w:rsidTr="004804F2">
        <w:trPr>
          <w:trHeight w:val="341"/>
        </w:trPr>
        <w:tc>
          <w:tcPr>
            <w:tcW w:w="1458" w:type="dxa"/>
            <w:vMerge/>
            <w:tcBorders>
              <w:top w:val="nil"/>
              <w:left w:val="nil"/>
              <w:bottom w:val="single" w:sz="4" w:space="0" w:color="000000"/>
              <w:right w:val="nil"/>
            </w:tcBorders>
            <w:vAlign w:val="center"/>
            <w:hideMark/>
          </w:tcPr>
          <w:p w14:paraId="3E060951" w14:textId="77777777" w:rsidR="00414A99" w:rsidRPr="00B26772" w:rsidRDefault="00414A99" w:rsidP="00775172">
            <w:pPr>
              <w:jc w:val="left"/>
              <w:rPr>
                <w:rFonts w:eastAsia="Times New Roman"/>
                <w:color w:val="000000"/>
              </w:rPr>
            </w:pPr>
          </w:p>
        </w:tc>
        <w:tc>
          <w:tcPr>
            <w:tcW w:w="1620" w:type="dxa"/>
            <w:tcBorders>
              <w:top w:val="nil"/>
              <w:left w:val="nil"/>
              <w:bottom w:val="nil"/>
              <w:right w:val="nil"/>
            </w:tcBorders>
            <w:shd w:val="clear" w:color="auto" w:fill="auto"/>
            <w:vAlign w:val="center"/>
            <w:hideMark/>
          </w:tcPr>
          <w:p w14:paraId="08A02B0A" w14:textId="4F373D84" w:rsidR="00414A99" w:rsidRPr="00B26772" w:rsidRDefault="00414A99" w:rsidP="00775172">
            <w:pPr>
              <w:jc w:val="center"/>
              <w:rPr>
                <w:rFonts w:eastAsia="Times New Roman"/>
                <w:color w:val="000000"/>
              </w:rPr>
            </w:pPr>
            <w:r w:rsidRPr="00B26772">
              <w:rPr>
                <w:rFonts w:eastAsia="Times New Roman"/>
                <w:color w:val="000000"/>
              </w:rPr>
              <w:t xml:space="preserve">Vomiting        </w:t>
            </w:r>
          </w:p>
        </w:tc>
        <w:tc>
          <w:tcPr>
            <w:tcW w:w="1170" w:type="dxa"/>
            <w:tcBorders>
              <w:top w:val="nil"/>
              <w:left w:val="nil"/>
              <w:bottom w:val="nil"/>
              <w:right w:val="nil"/>
            </w:tcBorders>
            <w:shd w:val="clear" w:color="auto" w:fill="auto"/>
            <w:noWrap/>
            <w:vAlign w:val="center"/>
            <w:hideMark/>
          </w:tcPr>
          <w:p w14:paraId="039FE478" w14:textId="77777777" w:rsidR="00414A99" w:rsidRPr="00B26772" w:rsidRDefault="00414A99" w:rsidP="00775172">
            <w:pPr>
              <w:jc w:val="center"/>
              <w:rPr>
                <w:rFonts w:eastAsia="Times New Roman"/>
                <w:color w:val="000000"/>
              </w:rPr>
            </w:pPr>
            <w:r w:rsidRPr="00B26772">
              <w:rPr>
                <w:rFonts w:eastAsia="Times New Roman"/>
                <w:color w:val="000000"/>
              </w:rPr>
              <w:t>50</w:t>
            </w:r>
          </w:p>
        </w:tc>
        <w:tc>
          <w:tcPr>
            <w:tcW w:w="1080" w:type="dxa"/>
            <w:tcBorders>
              <w:top w:val="nil"/>
              <w:left w:val="nil"/>
              <w:bottom w:val="nil"/>
              <w:right w:val="nil"/>
            </w:tcBorders>
            <w:shd w:val="clear" w:color="auto" w:fill="auto"/>
            <w:noWrap/>
            <w:vAlign w:val="center"/>
            <w:hideMark/>
          </w:tcPr>
          <w:p w14:paraId="280C8E29" w14:textId="0E8C9DBA" w:rsidR="00414A99" w:rsidRPr="00B26772" w:rsidRDefault="00414A99" w:rsidP="00775172">
            <w:pPr>
              <w:jc w:val="center"/>
              <w:rPr>
                <w:rFonts w:eastAsia="Times New Roman"/>
                <w:color w:val="000000"/>
              </w:rPr>
            </w:pPr>
            <w:r w:rsidRPr="00B26772">
              <w:rPr>
                <w:rFonts w:eastAsia="Times New Roman"/>
                <w:color w:val="000000"/>
              </w:rPr>
              <w:t xml:space="preserve">65.67 </w:t>
            </w:r>
          </w:p>
        </w:tc>
        <w:tc>
          <w:tcPr>
            <w:tcW w:w="990" w:type="dxa"/>
            <w:tcBorders>
              <w:top w:val="nil"/>
              <w:left w:val="nil"/>
              <w:bottom w:val="nil"/>
              <w:right w:val="nil"/>
            </w:tcBorders>
            <w:shd w:val="clear" w:color="auto" w:fill="auto"/>
            <w:noWrap/>
            <w:vAlign w:val="center"/>
            <w:hideMark/>
          </w:tcPr>
          <w:p w14:paraId="04B68813" w14:textId="77777777" w:rsidR="00414A99" w:rsidRPr="00B26772" w:rsidRDefault="00414A99" w:rsidP="00775172">
            <w:pPr>
              <w:jc w:val="center"/>
              <w:rPr>
                <w:rFonts w:eastAsia="Times New Roman"/>
                <w:color w:val="000000"/>
              </w:rPr>
            </w:pPr>
            <w:r w:rsidRPr="00B26772">
              <w:rPr>
                <w:rFonts w:eastAsia="Times New Roman"/>
                <w:color w:val="000000"/>
              </w:rPr>
              <w:t>73.6%</w:t>
            </w:r>
          </w:p>
        </w:tc>
        <w:tc>
          <w:tcPr>
            <w:tcW w:w="270" w:type="dxa"/>
            <w:tcBorders>
              <w:top w:val="nil"/>
              <w:left w:val="nil"/>
              <w:bottom w:val="nil"/>
              <w:right w:val="nil"/>
            </w:tcBorders>
            <w:shd w:val="clear" w:color="auto" w:fill="auto"/>
            <w:noWrap/>
            <w:vAlign w:val="center"/>
            <w:hideMark/>
          </w:tcPr>
          <w:p w14:paraId="698EF7D3" w14:textId="77777777" w:rsidR="00414A99" w:rsidRPr="00B26772" w:rsidRDefault="00414A99" w:rsidP="00775172">
            <w:pPr>
              <w:jc w:val="center"/>
              <w:rPr>
                <w:rFonts w:eastAsia="Times New Roman"/>
                <w:color w:val="000000"/>
              </w:rPr>
            </w:pPr>
          </w:p>
        </w:tc>
        <w:tc>
          <w:tcPr>
            <w:tcW w:w="1080" w:type="dxa"/>
            <w:tcBorders>
              <w:top w:val="nil"/>
              <w:left w:val="nil"/>
              <w:bottom w:val="nil"/>
              <w:right w:val="nil"/>
            </w:tcBorders>
            <w:shd w:val="clear" w:color="auto" w:fill="auto"/>
            <w:noWrap/>
            <w:vAlign w:val="center"/>
            <w:hideMark/>
          </w:tcPr>
          <w:p w14:paraId="2CC638F6" w14:textId="42451EEE" w:rsidR="00414A99" w:rsidRPr="00B26772" w:rsidRDefault="00414A99" w:rsidP="00775172">
            <w:pPr>
              <w:jc w:val="center"/>
              <w:rPr>
                <w:rFonts w:eastAsia="Times New Roman"/>
                <w:color w:val="000000"/>
              </w:rPr>
            </w:pPr>
            <w:r w:rsidRPr="00B26772">
              <w:rPr>
                <w:rFonts w:eastAsia="Times New Roman"/>
                <w:color w:val="000000"/>
              </w:rPr>
              <w:t xml:space="preserve">65.79 </w:t>
            </w:r>
          </w:p>
        </w:tc>
        <w:tc>
          <w:tcPr>
            <w:tcW w:w="1170" w:type="dxa"/>
            <w:tcBorders>
              <w:top w:val="nil"/>
              <w:left w:val="nil"/>
              <w:bottom w:val="nil"/>
              <w:right w:val="nil"/>
            </w:tcBorders>
            <w:shd w:val="clear" w:color="auto" w:fill="auto"/>
            <w:noWrap/>
            <w:vAlign w:val="center"/>
            <w:hideMark/>
          </w:tcPr>
          <w:p w14:paraId="4B841101" w14:textId="3958D457" w:rsidR="00414A99" w:rsidRPr="00B26772" w:rsidRDefault="00414A99" w:rsidP="00775172">
            <w:pPr>
              <w:jc w:val="center"/>
              <w:rPr>
                <w:rFonts w:eastAsia="Times New Roman"/>
                <w:color w:val="000000"/>
              </w:rPr>
            </w:pPr>
            <w:r w:rsidRPr="00B26772">
              <w:rPr>
                <w:rFonts w:eastAsia="Times New Roman"/>
                <w:color w:val="000000"/>
              </w:rPr>
              <w:t>87.1%</w:t>
            </w:r>
          </w:p>
        </w:tc>
      </w:tr>
      <w:tr w:rsidR="00414A99" w:rsidRPr="00B26772" w14:paraId="40211DBF" w14:textId="77777777" w:rsidTr="004804F2">
        <w:trPr>
          <w:trHeight w:val="296"/>
        </w:trPr>
        <w:tc>
          <w:tcPr>
            <w:tcW w:w="1458" w:type="dxa"/>
            <w:vMerge/>
            <w:tcBorders>
              <w:top w:val="nil"/>
              <w:left w:val="nil"/>
              <w:bottom w:val="single" w:sz="4" w:space="0" w:color="000000"/>
              <w:right w:val="nil"/>
            </w:tcBorders>
            <w:vAlign w:val="center"/>
            <w:hideMark/>
          </w:tcPr>
          <w:p w14:paraId="57E38BDD" w14:textId="77777777" w:rsidR="00414A99" w:rsidRPr="00B26772" w:rsidRDefault="00414A99" w:rsidP="00775172">
            <w:pPr>
              <w:jc w:val="left"/>
              <w:rPr>
                <w:rFonts w:eastAsia="Times New Roman"/>
                <w:color w:val="000000"/>
              </w:rPr>
            </w:pPr>
          </w:p>
        </w:tc>
        <w:tc>
          <w:tcPr>
            <w:tcW w:w="1620" w:type="dxa"/>
            <w:tcBorders>
              <w:top w:val="nil"/>
              <w:left w:val="nil"/>
              <w:bottom w:val="single" w:sz="4" w:space="0" w:color="auto"/>
              <w:right w:val="nil"/>
            </w:tcBorders>
            <w:shd w:val="clear" w:color="auto" w:fill="auto"/>
            <w:vAlign w:val="center"/>
            <w:hideMark/>
          </w:tcPr>
          <w:p w14:paraId="4F797480" w14:textId="3948A724" w:rsidR="00414A99" w:rsidRPr="00B26772" w:rsidRDefault="00414A99" w:rsidP="00775172">
            <w:pPr>
              <w:jc w:val="center"/>
              <w:rPr>
                <w:rFonts w:eastAsia="Times New Roman"/>
                <w:color w:val="000000"/>
              </w:rPr>
            </w:pPr>
            <w:r w:rsidRPr="00B26772">
              <w:rPr>
                <w:rFonts w:eastAsia="Times New Roman"/>
                <w:color w:val="000000"/>
              </w:rPr>
              <w:t xml:space="preserve">High Fever     </w:t>
            </w:r>
          </w:p>
        </w:tc>
        <w:tc>
          <w:tcPr>
            <w:tcW w:w="1170" w:type="dxa"/>
            <w:tcBorders>
              <w:top w:val="nil"/>
              <w:left w:val="nil"/>
              <w:bottom w:val="single" w:sz="4" w:space="0" w:color="auto"/>
              <w:right w:val="nil"/>
            </w:tcBorders>
            <w:shd w:val="clear" w:color="auto" w:fill="auto"/>
            <w:noWrap/>
            <w:vAlign w:val="center"/>
            <w:hideMark/>
          </w:tcPr>
          <w:p w14:paraId="01773CD4" w14:textId="77777777" w:rsidR="00414A99" w:rsidRPr="00B26772" w:rsidRDefault="00414A99" w:rsidP="00775172">
            <w:pPr>
              <w:jc w:val="center"/>
              <w:rPr>
                <w:rFonts w:eastAsia="Times New Roman"/>
                <w:color w:val="000000"/>
              </w:rPr>
            </w:pPr>
            <w:r w:rsidRPr="00B26772">
              <w:rPr>
                <w:rFonts w:eastAsia="Times New Roman"/>
                <w:color w:val="000000"/>
              </w:rPr>
              <w:t>20</w:t>
            </w:r>
          </w:p>
        </w:tc>
        <w:tc>
          <w:tcPr>
            <w:tcW w:w="1080" w:type="dxa"/>
            <w:tcBorders>
              <w:top w:val="nil"/>
              <w:left w:val="nil"/>
              <w:bottom w:val="single" w:sz="4" w:space="0" w:color="auto"/>
              <w:right w:val="nil"/>
            </w:tcBorders>
            <w:shd w:val="clear" w:color="auto" w:fill="auto"/>
            <w:noWrap/>
            <w:vAlign w:val="center"/>
            <w:hideMark/>
          </w:tcPr>
          <w:p w14:paraId="56653AD3" w14:textId="5168CE8C" w:rsidR="00414A99" w:rsidRPr="00B26772" w:rsidRDefault="00414A99" w:rsidP="00775172">
            <w:pPr>
              <w:jc w:val="center"/>
              <w:rPr>
                <w:rFonts w:eastAsia="Times New Roman"/>
                <w:color w:val="000000"/>
              </w:rPr>
            </w:pPr>
            <w:r w:rsidRPr="00B26772">
              <w:rPr>
                <w:rFonts w:eastAsia="Times New Roman"/>
                <w:color w:val="000000"/>
              </w:rPr>
              <w:t xml:space="preserve">44.93 </w:t>
            </w:r>
          </w:p>
        </w:tc>
        <w:tc>
          <w:tcPr>
            <w:tcW w:w="990" w:type="dxa"/>
            <w:tcBorders>
              <w:top w:val="nil"/>
              <w:left w:val="nil"/>
              <w:bottom w:val="single" w:sz="4" w:space="0" w:color="auto"/>
              <w:right w:val="nil"/>
            </w:tcBorders>
            <w:shd w:val="clear" w:color="auto" w:fill="auto"/>
            <w:noWrap/>
            <w:vAlign w:val="center"/>
            <w:hideMark/>
          </w:tcPr>
          <w:p w14:paraId="048E9822" w14:textId="77777777" w:rsidR="00414A99" w:rsidRPr="00B26772" w:rsidRDefault="00414A99" w:rsidP="00775172">
            <w:pPr>
              <w:jc w:val="center"/>
              <w:rPr>
                <w:rFonts w:eastAsia="Times New Roman"/>
                <w:color w:val="000000"/>
              </w:rPr>
            </w:pPr>
            <w:r w:rsidRPr="00B26772">
              <w:rPr>
                <w:rFonts w:eastAsia="Times New Roman"/>
                <w:color w:val="000000"/>
              </w:rPr>
              <w:t>63.9%</w:t>
            </w:r>
          </w:p>
        </w:tc>
        <w:tc>
          <w:tcPr>
            <w:tcW w:w="270" w:type="dxa"/>
            <w:tcBorders>
              <w:top w:val="nil"/>
              <w:left w:val="nil"/>
              <w:bottom w:val="single" w:sz="4" w:space="0" w:color="auto"/>
              <w:right w:val="nil"/>
            </w:tcBorders>
            <w:shd w:val="clear" w:color="auto" w:fill="auto"/>
            <w:noWrap/>
            <w:vAlign w:val="center"/>
            <w:hideMark/>
          </w:tcPr>
          <w:p w14:paraId="6D6F095F" w14:textId="77777777" w:rsidR="00414A99" w:rsidRPr="00B26772" w:rsidRDefault="00414A99" w:rsidP="00775172">
            <w:pPr>
              <w:jc w:val="center"/>
              <w:rPr>
                <w:rFonts w:eastAsia="Times New Roman"/>
                <w:color w:val="000000"/>
              </w:rPr>
            </w:pPr>
            <w:r w:rsidRPr="00B26772">
              <w:rPr>
                <w:rFonts w:eastAsia="Times New Roman"/>
                <w:color w:val="000000"/>
              </w:rPr>
              <w:t> </w:t>
            </w:r>
          </w:p>
        </w:tc>
        <w:tc>
          <w:tcPr>
            <w:tcW w:w="1080" w:type="dxa"/>
            <w:tcBorders>
              <w:top w:val="nil"/>
              <w:left w:val="nil"/>
              <w:bottom w:val="single" w:sz="4" w:space="0" w:color="auto"/>
              <w:right w:val="nil"/>
            </w:tcBorders>
            <w:shd w:val="clear" w:color="auto" w:fill="auto"/>
            <w:noWrap/>
            <w:vAlign w:val="center"/>
            <w:hideMark/>
          </w:tcPr>
          <w:p w14:paraId="57C7641E" w14:textId="55922833" w:rsidR="00414A99" w:rsidRPr="00B26772" w:rsidRDefault="00414A99" w:rsidP="00775172">
            <w:pPr>
              <w:jc w:val="center"/>
              <w:rPr>
                <w:rFonts w:eastAsia="Times New Roman"/>
                <w:color w:val="000000"/>
              </w:rPr>
            </w:pPr>
            <w:r w:rsidRPr="00B26772">
              <w:rPr>
                <w:rFonts w:eastAsia="Times New Roman"/>
                <w:color w:val="000000"/>
              </w:rPr>
              <w:t xml:space="preserve">39.44 </w:t>
            </w:r>
          </w:p>
        </w:tc>
        <w:tc>
          <w:tcPr>
            <w:tcW w:w="1170" w:type="dxa"/>
            <w:tcBorders>
              <w:top w:val="nil"/>
              <w:left w:val="nil"/>
              <w:bottom w:val="single" w:sz="4" w:space="0" w:color="auto"/>
              <w:right w:val="nil"/>
            </w:tcBorders>
            <w:shd w:val="clear" w:color="auto" w:fill="auto"/>
            <w:noWrap/>
            <w:vAlign w:val="center"/>
            <w:hideMark/>
          </w:tcPr>
          <w:p w14:paraId="1758AE3D" w14:textId="35698A66" w:rsidR="00414A99" w:rsidRPr="00B26772" w:rsidRDefault="00414A99" w:rsidP="00775172">
            <w:pPr>
              <w:jc w:val="center"/>
              <w:rPr>
                <w:rFonts w:eastAsia="Times New Roman"/>
                <w:color w:val="000000"/>
              </w:rPr>
            </w:pPr>
            <w:r w:rsidRPr="00B26772">
              <w:rPr>
                <w:rFonts w:eastAsia="Times New Roman"/>
                <w:color w:val="000000"/>
              </w:rPr>
              <w:t>78.6%</w:t>
            </w:r>
          </w:p>
        </w:tc>
      </w:tr>
    </w:tbl>
    <w:p w14:paraId="5A433B41" w14:textId="77777777" w:rsidR="00D86E48" w:rsidRPr="00B26772" w:rsidRDefault="00D86E48" w:rsidP="00D86E48"/>
    <w:p w14:paraId="56205EC4" w14:textId="77777777" w:rsidR="00D86E48" w:rsidRPr="00B26772" w:rsidRDefault="00D86E48" w:rsidP="00D86E48"/>
    <w:p w14:paraId="63F5E2D0" w14:textId="77777777" w:rsidR="00D86E48" w:rsidRPr="00B26772" w:rsidRDefault="00D86E48" w:rsidP="00D86E48"/>
    <w:p w14:paraId="3C713152" w14:textId="77777777" w:rsidR="00414A99" w:rsidRPr="00B26772" w:rsidRDefault="00414A99" w:rsidP="00D86E48">
      <w:pPr>
        <w:spacing w:line="480" w:lineRule="auto"/>
        <w:jc w:val="center"/>
      </w:pPr>
    </w:p>
    <w:p w14:paraId="66275839" w14:textId="77777777" w:rsidR="00414A99" w:rsidRPr="00B26772" w:rsidRDefault="00414A99" w:rsidP="00D86E48">
      <w:pPr>
        <w:spacing w:line="480" w:lineRule="auto"/>
        <w:jc w:val="center"/>
      </w:pPr>
    </w:p>
    <w:p w14:paraId="6E61EA00" w14:textId="77777777" w:rsidR="00414A99" w:rsidRPr="00B26772" w:rsidRDefault="00414A99" w:rsidP="00D86E48">
      <w:pPr>
        <w:spacing w:line="480" w:lineRule="auto"/>
        <w:jc w:val="center"/>
      </w:pPr>
    </w:p>
    <w:p w14:paraId="3F1BB943" w14:textId="77777777" w:rsidR="00414A99" w:rsidRPr="00B26772" w:rsidRDefault="00414A99" w:rsidP="00D86E48">
      <w:pPr>
        <w:spacing w:line="480" w:lineRule="auto"/>
        <w:jc w:val="center"/>
      </w:pPr>
    </w:p>
    <w:p w14:paraId="39476410" w14:textId="77777777" w:rsidR="00414A99" w:rsidRPr="00B26772" w:rsidRDefault="00414A99" w:rsidP="00D86E48">
      <w:pPr>
        <w:spacing w:line="480" w:lineRule="auto"/>
        <w:jc w:val="center"/>
      </w:pPr>
    </w:p>
    <w:p w14:paraId="1A61A00B" w14:textId="77777777" w:rsidR="00414A99" w:rsidRPr="00B26772" w:rsidRDefault="00414A99" w:rsidP="00D86E48">
      <w:pPr>
        <w:spacing w:line="480" w:lineRule="auto"/>
        <w:jc w:val="center"/>
      </w:pPr>
    </w:p>
    <w:p w14:paraId="046B7AFD" w14:textId="3F2041FF" w:rsidR="00414A99" w:rsidRDefault="00414A99" w:rsidP="00D86E48">
      <w:pPr>
        <w:spacing w:line="480" w:lineRule="auto"/>
        <w:jc w:val="center"/>
      </w:pPr>
    </w:p>
    <w:p w14:paraId="539098A5" w14:textId="24C10DDC" w:rsidR="00FC792F" w:rsidRDefault="00FC792F" w:rsidP="00D86E48">
      <w:pPr>
        <w:spacing w:line="480" w:lineRule="auto"/>
        <w:jc w:val="center"/>
      </w:pPr>
    </w:p>
    <w:p w14:paraId="1D3D88F7" w14:textId="5B4A2C5E" w:rsidR="00FC792F" w:rsidRDefault="00FC792F" w:rsidP="00D86E48">
      <w:pPr>
        <w:spacing w:line="480" w:lineRule="auto"/>
        <w:jc w:val="center"/>
      </w:pPr>
    </w:p>
    <w:p w14:paraId="479500AB" w14:textId="77777777" w:rsidR="00592867" w:rsidRPr="00B26772" w:rsidRDefault="00592867" w:rsidP="00D86E48">
      <w:pPr>
        <w:spacing w:line="480" w:lineRule="auto"/>
        <w:jc w:val="center"/>
      </w:pPr>
    </w:p>
    <w:p w14:paraId="794B8167" w14:textId="77777777" w:rsidR="00C43735" w:rsidRDefault="00C43735" w:rsidP="00FC792F">
      <w:pPr>
        <w:contextualSpacing/>
        <w:jc w:val="left"/>
      </w:pPr>
    </w:p>
    <w:p w14:paraId="077510EE" w14:textId="77777777" w:rsidR="00C43735" w:rsidRDefault="00C43735" w:rsidP="00FC792F">
      <w:pPr>
        <w:contextualSpacing/>
        <w:jc w:val="left"/>
      </w:pPr>
    </w:p>
    <w:p w14:paraId="1872046C" w14:textId="60EAD969" w:rsidR="00C43735" w:rsidRDefault="00C43735" w:rsidP="00FC792F">
      <w:pPr>
        <w:contextualSpacing/>
        <w:jc w:val="left"/>
      </w:pPr>
    </w:p>
    <w:p w14:paraId="2CA37E2B" w14:textId="2D3AA499" w:rsidR="00A00787" w:rsidRDefault="00A00787" w:rsidP="00FC792F">
      <w:pPr>
        <w:contextualSpacing/>
        <w:jc w:val="left"/>
      </w:pPr>
    </w:p>
    <w:p w14:paraId="3DC94D09" w14:textId="43775E0A" w:rsidR="00A00787" w:rsidRDefault="00A00787" w:rsidP="00FC792F">
      <w:pPr>
        <w:contextualSpacing/>
        <w:jc w:val="left"/>
      </w:pPr>
    </w:p>
    <w:p w14:paraId="555F71FC" w14:textId="7D2E5740" w:rsidR="00A00787" w:rsidRDefault="00A00787" w:rsidP="00FC792F">
      <w:pPr>
        <w:contextualSpacing/>
        <w:jc w:val="left"/>
      </w:pPr>
    </w:p>
    <w:p w14:paraId="75D63812" w14:textId="54465BA1" w:rsidR="00A00787" w:rsidRDefault="00A00787" w:rsidP="00FC792F">
      <w:pPr>
        <w:contextualSpacing/>
        <w:jc w:val="left"/>
      </w:pPr>
    </w:p>
    <w:p w14:paraId="2A36207B" w14:textId="15888CFA" w:rsidR="00A00787" w:rsidRDefault="00A00787" w:rsidP="00FC792F">
      <w:pPr>
        <w:contextualSpacing/>
        <w:jc w:val="left"/>
      </w:pPr>
    </w:p>
    <w:p w14:paraId="32950E2A" w14:textId="77777777" w:rsidR="004804F2" w:rsidRDefault="004804F2" w:rsidP="00FC792F">
      <w:pPr>
        <w:contextualSpacing/>
        <w:jc w:val="left"/>
      </w:pPr>
    </w:p>
    <w:p w14:paraId="56EAEB1F" w14:textId="77777777" w:rsidR="00C43735" w:rsidRDefault="00C43735" w:rsidP="00FC792F">
      <w:pPr>
        <w:contextualSpacing/>
        <w:jc w:val="left"/>
      </w:pPr>
    </w:p>
    <w:p w14:paraId="225E9432" w14:textId="1F24840F" w:rsidR="00530DE6" w:rsidRPr="00B26772" w:rsidRDefault="00530DE6" w:rsidP="00FC792F">
      <w:pPr>
        <w:contextualSpacing/>
        <w:jc w:val="left"/>
      </w:pPr>
      <w:r w:rsidRPr="00B26772">
        <w:lastRenderedPageBreak/>
        <w:t>FIGURE 1</w:t>
      </w:r>
    </w:p>
    <w:p w14:paraId="11E58A68" w14:textId="3299C9E9" w:rsidR="00E533C5" w:rsidRPr="00FC792F" w:rsidRDefault="00B6343F" w:rsidP="003C4662">
      <w:pPr>
        <w:ind w:right="1980"/>
        <w:contextualSpacing/>
        <w:jc w:val="left"/>
        <w:rPr>
          <w:i/>
        </w:rPr>
      </w:pPr>
      <w:r w:rsidRPr="00FC792F">
        <w:rPr>
          <w:i/>
        </w:rPr>
        <w:t>Ex</w:t>
      </w:r>
      <w:r w:rsidR="00313B1B">
        <w:rPr>
          <w:i/>
        </w:rPr>
        <w:t xml:space="preserve">ample of the </w:t>
      </w:r>
      <w:r w:rsidR="00E533C5">
        <w:rPr>
          <w:i/>
        </w:rPr>
        <w:t>Ex</w:t>
      </w:r>
      <w:r w:rsidRPr="00FC792F">
        <w:rPr>
          <w:i/>
        </w:rPr>
        <w:t xml:space="preserve">perimental VIS </w:t>
      </w:r>
      <w:r w:rsidR="00FC792F" w:rsidRPr="00FC792F">
        <w:rPr>
          <w:i/>
        </w:rPr>
        <w:t xml:space="preserve">Stimuli Used </w:t>
      </w:r>
      <w:r w:rsidR="00FC792F">
        <w:rPr>
          <w:i/>
        </w:rPr>
        <w:t>i</w:t>
      </w:r>
      <w:r w:rsidR="00FC792F" w:rsidRPr="00FC792F">
        <w:rPr>
          <w:i/>
        </w:rPr>
        <w:t xml:space="preserve">n </w:t>
      </w:r>
      <w:r w:rsidR="00F30D9D">
        <w:rPr>
          <w:i/>
        </w:rPr>
        <w:t>t</w:t>
      </w:r>
      <w:r w:rsidR="00FC792F" w:rsidRPr="00FC792F">
        <w:rPr>
          <w:i/>
        </w:rPr>
        <w:t>he Multiple-Risk</w:t>
      </w:r>
      <w:r w:rsidR="00343963">
        <w:rPr>
          <w:i/>
        </w:rPr>
        <w:t xml:space="preserve"> </w:t>
      </w:r>
      <w:r w:rsidR="00FC792F" w:rsidRPr="00FC792F">
        <w:rPr>
          <w:i/>
        </w:rPr>
        <w:t xml:space="preserve">Pictograph </w:t>
      </w:r>
      <w:r w:rsidR="00E533C5">
        <w:rPr>
          <w:i/>
        </w:rPr>
        <w:t>Present Condition</w:t>
      </w:r>
    </w:p>
    <w:p w14:paraId="73B42B1C" w14:textId="57A9FA5E" w:rsidR="00B6343F" w:rsidRPr="00B26772" w:rsidRDefault="003C4662" w:rsidP="00E533C5">
      <w:pPr>
        <w:jc w:val="left"/>
      </w:pPr>
      <w:r>
        <w:rPr>
          <w:noProof/>
        </w:rPr>
        <w:drawing>
          <wp:inline distT="0" distB="0" distL="0" distR="0" wp14:anchorId="36979629" wp14:editId="10DD2743">
            <wp:extent cx="4503555" cy="5226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7095" cy="5230158"/>
                    </a:xfrm>
                    <a:prstGeom prst="rect">
                      <a:avLst/>
                    </a:prstGeom>
                    <a:noFill/>
                    <a:ln>
                      <a:noFill/>
                    </a:ln>
                  </pic:spPr>
                </pic:pic>
              </a:graphicData>
            </a:graphic>
          </wp:inline>
        </w:drawing>
      </w:r>
    </w:p>
    <w:p w14:paraId="30418AE9" w14:textId="57D9B193" w:rsidR="00B6343F" w:rsidRPr="00B26772" w:rsidRDefault="00B6343F" w:rsidP="00DE54FC">
      <w:pPr>
        <w:jc w:val="center"/>
      </w:pPr>
    </w:p>
    <w:p w14:paraId="4B98FADF" w14:textId="46DD0A7D" w:rsidR="00B6343F" w:rsidRPr="00B26772" w:rsidRDefault="00B6343F" w:rsidP="00DE54FC">
      <w:pPr>
        <w:jc w:val="center"/>
      </w:pPr>
    </w:p>
    <w:p w14:paraId="28E83035" w14:textId="7349FBBA" w:rsidR="00B6343F" w:rsidRPr="00B26772" w:rsidRDefault="00B6343F" w:rsidP="00DE54FC">
      <w:pPr>
        <w:jc w:val="center"/>
      </w:pPr>
    </w:p>
    <w:p w14:paraId="5FD74C66" w14:textId="6381D7E5" w:rsidR="00B6343F" w:rsidRPr="00B26772" w:rsidRDefault="00B6343F" w:rsidP="00DE54FC">
      <w:pPr>
        <w:jc w:val="center"/>
      </w:pPr>
    </w:p>
    <w:p w14:paraId="0D17F523" w14:textId="2CDCD83B" w:rsidR="00B6343F" w:rsidRPr="00B26772" w:rsidRDefault="00B6343F" w:rsidP="00DE54FC">
      <w:pPr>
        <w:jc w:val="center"/>
      </w:pPr>
    </w:p>
    <w:p w14:paraId="5D522F2E" w14:textId="3A52FB5B" w:rsidR="00B6343F" w:rsidRPr="00B26772" w:rsidRDefault="00B6343F" w:rsidP="00DE54FC">
      <w:pPr>
        <w:jc w:val="center"/>
      </w:pPr>
    </w:p>
    <w:p w14:paraId="623D6595" w14:textId="4EB1E2DF" w:rsidR="00B6343F" w:rsidRPr="00B26772" w:rsidRDefault="00B6343F" w:rsidP="00DE54FC">
      <w:pPr>
        <w:jc w:val="center"/>
      </w:pPr>
    </w:p>
    <w:p w14:paraId="0488B270" w14:textId="0B321994" w:rsidR="00B6343F" w:rsidRPr="00B26772" w:rsidRDefault="00B6343F" w:rsidP="00DE54FC">
      <w:pPr>
        <w:jc w:val="center"/>
      </w:pPr>
    </w:p>
    <w:p w14:paraId="1C0C00A9" w14:textId="13820839" w:rsidR="00B6343F" w:rsidRPr="00B26772" w:rsidRDefault="00B6343F" w:rsidP="00DE54FC">
      <w:pPr>
        <w:jc w:val="center"/>
      </w:pPr>
    </w:p>
    <w:p w14:paraId="7E82285A" w14:textId="625306FE" w:rsidR="00B6343F" w:rsidRPr="00B26772" w:rsidRDefault="00B6343F" w:rsidP="00DE54FC">
      <w:pPr>
        <w:jc w:val="center"/>
      </w:pPr>
    </w:p>
    <w:p w14:paraId="264039AF" w14:textId="08F1A846" w:rsidR="00B6343F" w:rsidRPr="00B26772" w:rsidRDefault="00B6343F" w:rsidP="00DE54FC">
      <w:pPr>
        <w:jc w:val="center"/>
      </w:pPr>
    </w:p>
    <w:p w14:paraId="39D133A9" w14:textId="29B7B702" w:rsidR="00B6343F" w:rsidRPr="00B26772" w:rsidRDefault="00B6343F" w:rsidP="00DE54FC">
      <w:pPr>
        <w:jc w:val="center"/>
      </w:pPr>
    </w:p>
    <w:p w14:paraId="07F48EB0" w14:textId="4C12A9F0" w:rsidR="00B6343F" w:rsidRPr="00B26772" w:rsidRDefault="00B6343F" w:rsidP="00DE54FC">
      <w:pPr>
        <w:jc w:val="center"/>
      </w:pPr>
    </w:p>
    <w:p w14:paraId="169D205C" w14:textId="77777777" w:rsidR="00D86E48" w:rsidRPr="00B26772" w:rsidRDefault="00D86E48" w:rsidP="002D52B2"/>
    <w:p w14:paraId="7C9AC45E" w14:textId="39D7607B" w:rsidR="00DE54FC" w:rsidRPr="00B26772" w:rsidRDefault="00DE54FC" w:rsidP="00F30D9D">
      <w:pPr>
        <w:contextualSpacing/>
        <w:jc w:val="left"/>
      </w:pPr>
      <w:r w:rsidRPr="00B26772">
        <w:lastRenderedPageBreak/>
        <w:t>FIGURE 2</w:t>
      </w:r>
    </w:p>
    <w:p w14:paraId="69CCE110" w14:textId="47CF5122" w:rsidR="00DE54FC" w:rsidRPr="00F30D9D" w:rsidRDefault="00DE54FC" w:rsidP="00F3793E">
      <w:pPr>
        <w:ind w:right="-270"/>
        <w:contextualSpacing/>
        <w:jc w:val="left"/>
        <w:rPr>
          <w:i/>
        </w:rPr>
      </w:pPr>
      <w:r w:rsidRPr="00F30D9D">
        <w:rPr>
          <w:i/>
        </w:rPr>
        <w:t xml:space="preserve">Probability </w:t>
      </w:r>
      <w:r w:rsidR="00F30D9D" w:rsidRPr="00F30D9D">
        <w:rPr>
          <w:i/>
        </w:rPr>
        <w:t>Comprehension (</w:t>
      </w:r>
      <w:r w:rsidR="00343963">
        <w:rPr>
          <w:i/>
        </w:rPr>
        <w:t>Percent</w:t>
      </w:r>
      <w:r w:rsidR="00F30D9D" w:rsidRPr="00F30D9D">
        <w:rPr>
          <w:i/>
        </w:rPr>
        <w:t xml:space="preserve"> Correct) in the Single and Multiple</w:t>
      </w:r>
      <w:r w:rsidR="00343963">
        <w:rPr>
          <w:i/>
        </w:rPr>
        <w:t>-</w:t>
      </w:r>
      <w:r w:rsidR="00F30D9D" w:rsidRPr="00F30D9D">
        <w:rPr>
          <w:i/>
        </w:rPr>
        <w:t xml:space="preserve">Risk Conditions in the Presence Versus Absence of Pictographs. </w:t>
      </w:r>
    </w:p>
    <w:p w14:paraId="75E1781C" w14:textId="13AE8179" w:rsidR="00DE54FC" w:rsidRPr="00B26772" w:rsidRDefault="00DE54FC" w:rsidP="0091597E">
      <w:r w:rsidRPr="00B26772">
        <w:rPr>
          <w:noProof/>
        </w:rPr>
        <w:drawing>
          <wp:inline distT="0" distB="0" distL="0" distR="0" wp14:anchorId="64C54AC2" wp14:editId="055F7FAE">
            <wp:extent cx="6273800" cy="3021965"/>
            <wp:effectExtent l="0" t="0" r="0" b="0"/>
            <wp:docPr id="1" name="Chart 1">
              <a:extLst xmlns:a="http://schemas.openxmlformats.org/drawingml/2006/main">
                <a:ext uri="{FF2B5EF4-FFF2-40B4-BE49-F238E27FC236}">
                  <a16:creationId xmlns:a16="http://schemas.microsoft.com/office/drawing/2014/main" id="{38E45C6A-BA20-40E3-943E-B93A890A07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A9C0BF" w14:textId="69ADC979" w:rsidR="00B6343F" w:rsidRPr="00B26772" w:rsidRDefault="00B6343F"/>
    <w:p w14:paraId="4B1721EA" w14:textId="1395BDF8" w:rsidR="00B6343F" w:rsidRPr="00B26772" w:rsidRDefault="00B6343F"/>
    <w:p w14:paraId="72A59D1F" w14:textId="3C377CF4" w:rsidR="00B6343F" w:rsidRPr="00B26772" w:rsidRDefault="00B6343F"/>
    <w:p w14:paraId="021D1CA7" w14:textId="77777777" w:rsidR="005E5E42" w:rsidRPr="00B26772" w:rsidRDefault="005E5E42" w:rsidP="00B6343F">
      <w:pPr>
        <w:jc w:val="center"/>
      </w:pPr>
    </w:p>
    <w:p w14:paraId="1A771BCD" w14:textId="77777777" w:rsidR="005E5E42" w:rsidRPr="00B26772" w:rsidRDefault="005E5E42" w:rsidP="00B6343F">
      <w:pPr>
        <w:jc w:val="center"/>
      </w:pPr>
    </w:p>
    <w:p w14:paraId="49DBB076" w14:textId="77777777" w:rsidR="005E5E42" w:rsidRPr="00B26772" w:rsidRDefault="005E5E42" w:rsidP="00B6343F">
      <w:pPr>
        <w:jc w:val="center"/>
      </w:pPr>
    </w:p>
    <w:p w14:paraId="7EB6A893" w14:textId="77777777" w:rsidR="005E5E42" w:rsidRPr="00B26772" w:rsidRDefault="005E5E42" w:rsidP="00B6343F">
      <w:pPr>
        <w:jc w:val="center"/>
      </w:pPr>
    </w:p>
    <w:p w14:paraId="57A492B6" w14:textId="77777777" w:rsidR="005E5E42" w:rsidRPr="00B26772" w:rsidRDefault="005E5E42" w:rsidP="00B6343F">
      <w:pPr>
        <w:jc w:val="center"/>
      </w:pPr>
    </w:p>
    <w:p w14:paraId="2E3C6CB3" w14:textId="77777777" w:rsidR="005E5E42" w:rsidRPr="00B26772" w:rsidRDefault="005E5E42" w:rsidP="00B6343F">
      <w:pPr>
        <w:jc w:val="center"/>
      </w:pPr>
    </w:p>
    <w:p w14:paraId="56F95917" w14:textId="77777777" w:rsidR="005E5E42" w:rsidRPr="00B26772" w:rsidRDefault="005E5E42" w:rsidP="00B6343F">
      <w:pPr>
        <w:jc w:val="center"/>
      </w:pPr>
    </w:p>
    <w:p w14:paraId="240E5DF7" w14:textId="77777777" w:rsidR="005E5E42" w:rsidRPr="00B26772" w:rsidRDefault="005E5E42" w:rsidP="00B6343F">
      <w:pPr>
        <w:jc w:val="center"/>
      </w:pPr>
    </w:p>
    <w:p w14:paraId="2DE478E5" w14:textId="77777777" w:rsidR="005E5E42" w:rsidRPr="00B26772" w:rsidRDefault="005E5E42" w:rsidP="00B6343F">
      <w:pPr>
        <w:jc w:val="center"/>
      </w:pPr>
    </w:p>
    <w:p w14:paraId="38FCF689" w14:textId="77777777" w:rsidR="005E5E42" w:rsidRPr="00B26772" w:rsidRDefault="005E5E42" w:rsidP="00B6343F">
      <w:pPr>
        <w:jc w:val="center"/>
      </w:pPr>
    </w:p>
    <w:p w14:paraId="73BD82A9" w14:textId="77777777" w:rsidR="005E5E42" w:rsidRPr="00B26772" w:rsidRDefault="005E5E42" w:rsidP="00B6343F">
      <w:pPr>
        <w:jc w:val="center"/>
      </w:pPr>
    </w:p>
    <w:p w14:paraId="6F7494E9" w14:textId="77777777" w:rsidR="005E5E42" w:rsidRPr="00B26772" w:rsidRDefault="005E5E42" w:rsidP="00B6343F">
      <w:pPr>
        <w:jc w:val="center"/>
      </w:pPr>
    </w:p>
    <w:p w14:paraId="14F5D0FF" w14:textId="77777777" w:rsidR="005E5E42" w:rsidRPr="00B26772" w:rsidRDefault="005E5E42" w:rsidP="00B6343F">
      <w:pPr>
        <w:jc w:val="center"/>
      </w:pPr>
    </w:p>
    <w:p w14:paraId="2DF2F8A5" w14:textId="77777777" w:rsidR="005E5E42" w:rsidRPr="00B26772" w:rsidRDefault="005E5E42" w:rsidP="00B6343F">
      <w:pPr>
        <w:jc w:val="center"/>
      </w:pPr>
    </w:p>
    <w:p w14:paraId="05526DEE" w14:textId="77777777" w:rsidR="005E5E42" w:rsidRPr="00B26772" w:rsidRDefault="005E5E42" w:rsidP="00B6343F">
      <w:pPr>
        <w:jc w:val="center"/>
      </w:pPr>
    </w:p>
    <w:p w14:paraId="06FD2D21" w14:textId="38C6DE10" w:rsidR="005E5E42" w:rsidRPr="00B26772" w:rsidRDefault="005E5E42" w:rsidP="00B6343F">
      <w:pPr>
        <w:jc w:val="center"/>
      </w:pPr>
    </w:p>
    <w:p w14:paraId="4041E760" w14:textId="1E91A3E2" w:rsidR="00414A99" w:rsidRPr="00B26772" w:rsidRDefault="00414A99" w:rsidP="00B6343F">
      <w:pPr>
        <w:jc w:val="center"/>
      </w:pPr>
    </w:p>
    <w:p w14:paraId="5448D2EB" w14:textId="77777777" w:rsidR="00414A99" w:rsidRPr="00B26772" w:rsidRDefault="00414A99" w:rsidP="00B6343F">
      <w:pPr>
        <w:jc w:val="center"/>
      </w:pPr>
    </w:p>
    <w:p w14:paraId="06CAE6A4" w14:textId="7FD099F1" w:rsidR="005E5E42" w:rsidRDefault="005E5E42" w:rsidP="00B6343F">
      <w:pPr>
        <w:jc w:val="center"/>
      </w:pPr>
    </w:p>
    <w:p w14:paraId="00AEA3EC" w14:textId="5915AD28" w:rsidR="00A43076" w:rsidRDefault="00A43076" w:rsidP="00B6343F">
      <w:pPr>
        <w:jc w:val="center"/>
      </w:pPr>
    </w:p>
    <w:p w14:paraId="2FA0CD18" w14:textId="6582BF85" w:rsidR="00A43076" w:rsidRDefault="00A43076" w:rsidP="00B6343F">
      <w:pPr>
        <w:jc w:val="center"/>
      </w:pPr>
    </w:p>
    <w:p w14:paraId="63FA465A" w14:textId="4C30C8A2" w:rsidR="00A43076" w:rsidRPr="00B26772" w:rsidRDefault="00206283" w:rsidP="00B6343F">
      <w:pPr>
        <w:jc w:val="center"/>
      </w:pPr>
      <w:r>
        <w:t xml:space="preserve"> </w:t>
      </w:r>
    </w:p>
    <w:p w14:paraId="15BA80AB" w14:textId="77777777" w:rsidR="00D86E48" w:rsidRPr="00B26772" w:rsidRDefault="00D86E48" w:rsidP="00D86E48"/>
    <w:p w14:paraId="29FDFF46" w14:textId="257F0A4A" w:rsidR="00B6343F" w:rsidRPr="00B26772" w:rsidRDefault="00B6343F" w:rsidP="00252164">
      <w:pPr>
        <w:contextualSpacing/>
        <w:jc w:val="left"/>
      </w:pPr>
      <w:r w:rsidRPr="00B26772">
        <w:lastRenderedPageBreak/>
        <w:t>FIGURE 3</w:t>
      </w:r>
    </w:p>
    <w:p w14:paraId="1036E897" w14:textId="7C1411A1" w:rsidR="00B6343F" w:rsidRPr="003F60B9" w:rsidRDefault="003F60B9" w:rsidP="00F3793E">
      <w:pPr>
        <w:ind w:right="3060"/>
        <w:contextualSpacing/>
        <w:jc w:val="left"/>
        <w:rPr>
          <w:i/>
        </w:rPr>
      </w:pPr>
      <w:r w:rsidRPr="003F60B9">
        <w:rPr>
          <w:i/>
        </w:rPr>
        <w:t xml:space="preserve">Risk Perception </w:t>
      </w:r>
      <w:r>
        <w:rPr>
          <w:i/>
        </w:rPr>
        <w:t>in</w:t>
      </w:r>
      <w:r w:rsidRPr="003F60B9">
        <w:rPr>
          <w:i/>
        </w:rPr>
        <w:t xml:space="preserve"> </w:t>
      </w:r>
      <w:r>
        <w:rPr>
          <w:i/>
        </w:rPr>
        <w:t>t</w:t>
      </w:r>
      <w:r w:rsidRPr="003F60B9">
        <w:rPr>
          <w:i/>
        </w:rPr>
        <w:t xml:space="preserve">he Single </w:t>
      </w:r>
      <w:r>
        <w:rPr>
          <w:i/>
        </w:rPr>
        <w:t>a</w:t>
      </w:r>
      <w:r w:rsidRPr="003F60B9">
        <w:rPr>
          <w:i/>
        </w:rPr>
        <w:t>nd Multiple</w:t>
      </w:r>
      <w:r w:rsidR="00343963">
        <w:rPr>
          <w:i/>
        </w:rPr>
        <w:t>-</w:t>
      </w:r>
      <w:r w:rsidRPr="003F60B9">
        <w:rPr>
          <w:i/>
        </w:rPr>
        <w:t xml:space="preserve">Risk Conditions </w:t>
      </w:r>
      <w:r>
        <w:rPr>
          <w:i/>
        </w:rPr>
        <w:t>i</w:t>
      </w:r>
      <w:r w:rsidRPr="003F60B9">
        <w:rPr>
          <w:i/>
        </w:rPr>
        <w:t xml:space="preserve">n </w:t>
      </w:r>
      <w:r>
        <w:rPr>
          <w:i/>
        </w:rPr>
        <w:t>t</w:t>
      </w:r>
      <w:r w:rsidRPr="003F60B9">
        <w:rPr>
          <w:i/>
        </w:rPr>
        <w:t xml:space="preserve">he Presence Versus Absence </w:t>
      </w:r>
      <w:r>
        <w:rPr>
          <w:i/>
        </w:rPr>
        <w:t>o</w:t>
      </w:r>
      <w:r w:rsidRPr="003F60B9">
        <w:rPr>
          <w:i/>
        </w:rPr>
        <w:t>f Pictographs</w:t>
      </w:r>
    </w:p>
    <w:p w14:paraId="37C16625" w14:textId="288AF55A" w:rsidR="00B6343F" w:rsidRDefault="005E5E42" w:rsidP="003F60B9">
      <w:pPr>
        <w:jc w:val="left"/>
      </w:pPr>
      <w:r w:rsidRPr="00B26772">
        <w:rPr>
          <w:noProof/>
        </w:rPr>
        <w:drawing>
          <wp:inline distT="0" distB="0" distL="0" distR="0" wp14:anchorId="75F3349D" wp14:editId="16B40320">
            <wp:extent cx="3762376" cy="4029076"/>
            <wp:effectExtent l="0" t="0" r="0" b="0"/>
            <wp:docPr id="8" name="Chart 8">
              <a:extLst xmlns:a="http://schemas.openxmlformats.org/drawingml/2006/main">
                <a:ext uri="{FF2B5EF4-FFF2-40B4-BE49-F238E27FC236}">
                  <a16:creationId xmlns:a16="http://schemas.microsoft.com/office/drawing/2014/main" id="{38E45C6A-BA20-40E3-943E-B93A890A07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B634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E418" w14:textId="77777777" w:rsidR="00EC20C5" w:rsidRDefault="00EC20C5" w:rsidP="00551668">
      <w:r>
        <w:separator/>
      </w:r>
    </w:p>
  </w:endnote>
  <w:endnote w:type="continuationSeparator" w:id="0">
    <w:p w14:paraId="2321705C" w14:textId="77777777" w:rsidR="00EC20C5" w:rsidRDefault="00EC20C5" w:rsidP="0055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76021"/>
      <w:docPartObj>
        <w:docPartGallery w:val="Page Numbers (Bottom of Page)"/>
        <w:docPartUnique/>
      </w:docPartObj>
    </w:sdtPr>
    <w:sdtEndPr>
      <w:rPr>
        <w:noProof/>
      </w:rPr>
    </w:sdtEndPr>
    <w:sdtContent>
      <w:p w14:paraId="1991FE1B" w14:textId="631AA59B" w:rsidR="00F120A8" w:rsidRDefault="00F120A8">
        <w:pPr>
          <w:pStyle w:val="Footer"/>
          <w:jc w:val="center"/>
        </w:pPr>
        <w:r>
          <w:fldChar w:fldCharType="begin"/>
        </w:r>
        <w:r>
          <w:instrText xml:space="preserve"> PAGE   \* MERGEFORMAT </w:instrText>
        </w:r>
        <w:r>
          <w:fldChar w:fldCharType="separate"/>
        </w:r>
        <w:r w:rsidR="00332EBF">
          <w:rPr>
            <w:noProof/>
          </w:rPr>
          <w:t>4</w:t>
        </w:r>
        <w:r>
          <w:rPr>
            <w:noProof/>
          </w:rPr>
          <w:fldChar w:fldCharType="end"/>
        </w:r>
      </w:p>
    </w:sdtContent>
  </w:sdt>
  <w:p w14:paraId="16FBAA56" w14:textId="77777777" w:rsidR="00F120A8" w:rsidRDefault="00F12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1E506" w14:textId="77777777" w:rsidR="00EC20C5" w:rsidRDefault="00EC20C5" w:rsidP="00551668">
      <w:r>
        <w:separator/>
      </w:r>
    </w:p>
  </w:footnote>
  <w:footnote w:type="continuationSeparator" w:id="0">
    <w:p w14:paraId="686142CF" w14:textId="77777777" w:rsidR="00EC20C5" w:rsidRDefault="00EC20C5" w:rsidP="00551668">
      <w:r>
        <w:continuationSeparator/>
      </w:r>
    </w:p>
  </w:footnote>
  <w:footnote w:id="1">
    <w:p w14:paraId="190C1106" w14:textId="04FB984D" w:rsidR="00F120A8" w:rsidRPr="00CE54CD" w:rsidRDefault="00F120A8" w:rsidP="00B24CD9">
      <w:pPr>
        <w:pStyle w:val="FootnoteText"/>
        <w:ind w:firstLine="720"/>
        <w:contextualSpacing/>
        <w:rPr>
          <w:sz w:val="24"/>
          <w:szCs w:val="24"/>
        </w:rPr>
      </w:pPr>
      <w:r w:rsidRPr="00CE54CD">
        <w:rPr>
          <w:sz w:val="24"/>
          <w:szCs w:val="24"/>
        </w:rPr>
        <w:t>1. Since CDC VIS do not contain information on whether the side effect probabilities are independent or not, we did not provide any information in our stimuli on independence. So, participants could make their own assumptions about whether and how often two or more side effects might be experienced by their child.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C6"/>
    <w:rsid w:val="00004BCE"/>
    <w:rsid w:val="00006F71"/>
    <w:rsid w:val="00010DB6"/>
    <w:rsid w:val="00015350"/>
    <w:rsid w:val="000205DD"/>
    <w:rsid w:val="000240F9"/>
    <w:rsid w:val="00026476"/>
    <w:rsid w:val="00030586"/>
    <w:rsid w:val="0006479A"/>
    <w:rsid w:val="00077A69"/>
    <w:rsid w:val="00081881"/>
    <w:rsid w:val="00090D87"/>
    <w:rsid w:val="00091136"/>
    <w:rsid w:val="00095640"/>
    <w:rsid w:val="00095DDD"/>
    <w:rsid w:val="0009764D"/>
    <w:rsid w:val="000A6D84"/>
    <w:rsid w:val="000B55F6"/>
    <w:rsid w:val="000B7FF1"/>
    <w:rsid w:val="000C08AF"/>
    <w:rsid w:val="000D282E"/>
    <w:rsid w:val="000E2B2B"/>
    <w:rsid w:val="000E5CB9"/>
    <w:rsid w:val="000F0034"/>
    <w:rsid w:val="000F5935"/>
    <w:rsid w:val="00104F9B"/>
    <w:rsid w:val="001166B5"/>
    <w:rsid w:val="00120173"/>
    <w:rsid w:val="00125669"/>
    <w:rsid w:val="00125AE2"/>
    <w:rsid w:val="001309A3"/>
    <w:rsid w:val="00147993"/>
    <w:rsid w:val="00154F38"/>
    <w:rsid w:val="00155668"/>
    <w:rsid w:val="001627DD"/>
    <w:rsid w:val="00162B37"/>
    <w:rsid w:val="001817F8"/>
    <w:rsid w:val="00181F12"/>
    <w:rsid w:val="0018327F"/>
    <w:rsid w:val="0018520B"/>
    <w:rsid w:val="001907BA"/>
    <w:rsid w:val="00192025"/>
    <w:rsid w:val="00193B82"/>
    <w:rsid w:val="00195A1D"/>
    <w:rsid w:val="00196278"/>
    <w:rsid w:val="001D0F0E"/>
    <w:rsid w:val="001D12EA"/>
    <w:rsid w:val="001D1970"/>
    <w:rsid w:val="001D503B"/>
    <w:rsid w:val="001E0BD1"/>
    <w:rsid w:val="001E5F51"/>
    <w:rsid w:val="001E7FD6"/>
    <w:rsid w:val="001F1238"/>
    <w:rsid w:val="001F6BF3"/>
    <w:rsid w:val="00204BA5"/>
    <w:rsid w:val="00206283"/>
    <w:rsid w:val="002128B5"/>
    <w:rsid w:val="00221F2E"/>
    <w:rsid w:val="002229CB"/>
    <w:rsid w:val="00226D32"/>
    <w:rsid w:val="0023270E"/>
    <w:rsid w:val="00235DCC"/>
    <w:rsid w:val="00247DC0"/>
    <w:rsid w:val="00250BA9"/>
    <w:rsid w:val="00252164"/>
    <w:rsid w:val="00255860"/>
    <w:rsid w:val="00260333"/>
    <w:rsid w:val="00260E63"/>
    <w:rsid w:val="00264004"/>
    <w:rsid w:val="00277384"/>
    <w:rsid w:val="00287EC8"/>
    <w:rsid w:val="0029003C"/>
    <w:rsid w:val="002908C7"/>
    <w:rsid w:val="00291D00"/>
    <w:rsid w:val="0029254A"/>
    <w:rsid w:val="0029263A"/>
    <w:rsid w:val="002A4439"/>
    <w:rsid w:val="002B2092"/>
    <w:rsid w:val="002B2291"/>
    <w:rsid w:val="002B514C"/>
    <w:rsid w:val="002B7FDC"/>
    <w:rsid w:val="002C31BB"/>
    <w:rsid w:val="002D263F"/>
    <w:rsid w:val="002D52B2"/>
    <w:rsid w:val="002D6AD0"/>
    <w:rsid w:val="002E09FF"/>
    <w:rsid w:val="002E0F63"/>
    <w:rsid w:val="00300317"/>
    <w:rsid w:val="00311E6E"/>
    <w:rsid w:val="00312076"/>
    <w:rsid w:val="00312936"/>
    <w:rsid w:val="00313B1B"/>
    <w:rsid w:val="00314426"/>
    <w:rsid w:val="00314DBF"/>
    <w:rsid w:val="0032106D"/>
    <w:rsid w:val="0032173B"/>
    <w:rsid w:val="00332EBF"/>
    <w:rsid w:val="00342AA6"/>
    <w:rsid w:val="0034340B"/>
    <w:rsid w:val="00343963"/>
    <w:rsid w:val="003467E2"/>
    <w:rsid w:val="00351812"/>
    <w:rsid w:val="00361351"/>
    <w:rsid w:val="00361E69"/>
    <w:rsid w:val="00363014"/>
    <w:rsid w:val="003712DB"/>
    <w:rsid w:val="003722DC"/>
    <w:rsid w:val="00377179"/>
    <w:rsid w:val="00385CFE"/>
    <w:rsid w:val="00386D46"/>
    <w:rsid w:val="00390FCD"/>
    <w:rsid w:val="003A19C3"/>
    <w:rsid w:val="003A6D75"/>
    <w:rsid w:val="003B0888"/>
    <w:rsid w:val="003B5EA3"/>
    <w:rsid w:val="003C4662"/>
    <w:rsid w:val="003C611C"/>
    <w:rsid w:val="003E0015"/>
    <w:rsid w:val="003E0BB3"/>
    <w:rsid w:val="003E4D3D"/>
    <w:rsid w:val="003E729F"/>
    <w:rsid w:val="003F22B1"/>
    <w:rsid w:val="003F2945"/>
    <w:rsid w:val="003F60B9"/>
    <w:rsid w:val="003F6E0D"/>
    <w:rsid w:val="003F733E"/>
    <w:rsid w:val="00411D2D"/>
    <w:rsid w:val="00414A99"/>
    <w:rsid w:val="00440141"/>
    <w:rsid w:val="00445CF7"/>
    <w:rsid w:val="0044702F"/>
    <w:rsid w:val="00452BD2"/>
    <w:rsid w:val="00456A94"/>
    <w:rsid w:val="00461BB2"/>
    <w:rsid w:val="0046550F"/>
    <w:rsid w:val="00466365"/>
    <w:rsid w:val="004717A6"/>
    <w:rsid w:val="00472BBE"/>
    <w:rsid w:val="00473F32"/>
    <w:rsid w:val="00474E56"/>
    <w:rsid w:val="004804F2"/>
    <w:rsid w:val="00481D80"/>
    <w:rsid w:val="0048235A"/>
    <w:rsid w:val="00495948"/>
    <w:rsid w:val="004A2AAF"/>
    <w:rsid w:val="004B4283"/>
    <w:rsid w:val="004C2398"/>
    <w:rsid w:val="004C5D6B"/>
    <w:rsid w:val="004F6C2F"/>
    <w:rsid w:val="004F7FAE"/>
    <w:rsid w:val="00502007"/>
    <w:rsid w:val="0050690E"/>
    <w:rsid w:val="00523AE2"/>
    <w:rsid w:val="005245CC"/>
    <w:rsid w:val="00527646"/>
    <w:rsid w:val="00530DE6"/>
    <w:rsid w:val="00535219"/>
    <w:rsid w:val="00536DD1"/>
    <w:rsid w:val="00540547"/>
    <w:rsid w:val="00540B2A"/>
    <w:rsid w:val="005514B2"/>
    <w:rsid w:val="00551668"/>
    <w:rsid w:val="00555BC8"/>
    <w:rsid w:val="005561EE"/>
    <w:rsid w:val="00557331"/>
    <w:rsid w:val="005577F4"/>
    <w:rsid w:val="0056116B"/>
    <w:rsid w:val="0056679D"/>
    <w:rsid w:val="00570DA9"/>
    <w:rsid w:val="00571064"/>
    <w:rsid w:val="005775A4"/>
    <w:rsid w:val="0058497C"/>
    <w:rsid w:val="0058662B"/>
    <w:rsid w:val="00590DEE"/>
    <w:rsid w:val="00592867"/>
    <w:rsid w:val="0059554D"/>
    <w:rsid w:val="005A4E63"/>
    <w:rsid w:val="005A73ED"/>
    <w:rsid w:val="005E1040"/>
    <w:rsid w:val="005E51BA"/>
    <w:rsid w:val="005E5E42"/>
    <w:rsid w:val="005F76EB"/>
    <w:rsid w:val="006124F5"/>
    <w:rsid w:val="006228BD"/>
    <w:rsid w:val="006231A6"/>
    <w:rsid w:val="006240BE"/>
    <w:rsid w:val="00646E7C"/>
    <w:rsid w:val="00652FFC"/>
    <w:rsid w:val="00655078"/>
    <w:rsid w:val="0065741F"/>
    <w:rsid w:val="00687A79"/>
    <w:rsid w:val="006A0661"/>
    <w:rsid w:val="006A2616"/>
    <w:rsid w:val="006A62EB"/>
    <w:rsid w:val="006C294D"/>
    <w:rsid w:val="006C5C97"/>
    <w:rsid w:val="006C6195"/>
    <w:rsid w:val="006D39E7"/>
    <w:rsid w:val="006E185C"/>
    <w:rsid w:val="006E2535"/>
    <w:rsid w:val="006E383A"/>
    <w:rsid w:val="006E48DE"/>
    <w:rsid w:val="006F1234"/>
    <w:rsid w:val="006F12DF"/>
    <w:rsid w:val="006F3F42"/>
    <w:rsid w:val="006F6A2E"/>
    <w:rsid w:val="00703951"/>
    <w:rsid w:val="00703AF7"/>
    <w:rsid w:val="00711A4B"/>
    <w:rsid w:val="0071689A"/>
    <w:rsid w:val="00742173"/>
    <w:rsid w:val="0075759F"/>
    <w:rsid w:val="00757E4C"/>
    <w:rsid w:val="00766BAF"/>
    <w:rsid w:val="00775172"/>
    <w:rsid w:val="00777D8F"/>
    <w:rsid w:val="00780BCE"/>
    <w:rsid w:val="007853F6"/>
    <w:rsid w:val="00792128"/>
    <w:rsid w:val="007A2F80"/>
    <w:rsid w:val="007A30A2"/>
    <w:rsid w:val="007A55CC"/>
    <w:rsid w:val="007B0742"/>
    <w:rsid w:val="007C302F"/>
    <w:rsid w:val="007C3348"/>
    <w:rsid w:val="007D2197"/>
    <w:rsid w:val="007E330E"/>
    <w:rsid w:val="007E5B44"/>
    <w:rsid w:val="007E7E02"/>
    <w:rsid w:val="007F4645"/>
    <w:rsid w:val="00802886"/>
    <w:rsid w:val="00815250"/>
    <w:rsid w:val="00815273"/>
    <w:rsid w:val="00824D46"/>
    <w:rsid w:val="008264D6"/>
    <w:rsid w:val="008308AE"/>
    <w:rsid w:val="00834458"/>
    <w:rsid w:val="0084416B"/>
    <w:rsid w:val="00847BE3"/>
    <w:rsid w:val="00863FA4"/>
    <w:rsid w:val="00887D2D"/>
    <w:rsid w:val="00890A78"/>
    <w:rsid w:val="008A7688"/>
    <w:rsid w:val="008B13CC"/>
    <w:rsid w:val="008B18B9"/>
    <w:rsid w:val="008B7B1B"/>
    <w:rsid w:val="008C03C1"/>
    <w:rsid w:val="008C574A"/>
    <w:rsid w:val="008D56CE"/>
    <w:rsid w:val="008E2DFB"/>
    <w:rsid w:val="008E6D00"/>
    <w:rsid w:val="008F325A"/>
    <w:rsid w:val="008F557E"/>
    <w:rsid w:val="0090093C"/>
    <w:rsid w:val="00902705"/>
    <w:rsid w:val="0091454D"/>
    <w:rsid w:val="0091597E"/>
    <w:rsid w:val="0093147A"/>
    <w:rsid w:val="00946AC6"/>
    <w:rsid w:val="00946CAF"/>
    <w:rsid w:val="009472AD"/>
    <w:rsid w:val="00953267"/>
    <w:rsid w:val="00953CC1"/>
    <w:rsid w:val="00955693"/>
    <w:rsid w:val="00961418"/>
    <w:rsid w:val="00973576"/>
    <w:rsid w:val="00980450"/>
    <w:rsid w:val="00981D3A"/>
    <w:rsid w:val="0098462A"/>
    <w:rsid w:val="009A6072"/>
    <w:rsid w:val="009B1A42"/>
    <w:rsid w:val="009B3B80"/>
    <w:rsid w:val="009C1A16"/>
    <w:rsid w:val="009C6E8D"/>
    <w:rsid w:val="009D5BEF"/>
    <w:rsid w:val="009D635A"/>
    <w:rsid w:val="009D68C9"/>
    <w:rsid w:val="009E4C09"/>
    <w:rsid w:val="009F5314"/>
    <w:rsid w:val="00A00787"/>
    <w:rsid w:val="00A06F8D"/>
    <w:rsid w:val="00A16B8E"/>
    <w:rsid w:val="00A27A4D"/>
    <w:rsid w:val="00A35325"/>
    <w:rsid w:val="00A404D4"/>
    <w:rsid w:val="00A41145"/>
    <w:rsid w:val="00A43076"/>
    <w:rsid w:val="00A46221"/>
    <w:rsid w:val="00A56485"/>
    <w:rsid w:val="00A57AA4"/>
    <w:rsid w:val="00A627C8"/>
    <w:rsid w:val="00A65D55"/>
    <w:rsid w:val="00AB08C0"/>
    <w:rsid w:val="00AB60AB"/>
    <w:rsid w:val="00AB6C68"/>
    <w:rsid w:val="00AB7B44"/>
    <w:rsid w:val="00AC10AC"/>
    <w:rsid w:val="00AD3B03"/>
    <w:rsid w:val="00AD4647"/>
    <w:rsid w:val="00AD5CD9"/>
    <w:rsid w:val="00AE21BF"/>
    <w:rsid w:val="00AE255A"/>
    <w:rsid w:val="00AE5A76"/>
    <w:rsid w:val="00AE7FAC"/>
    <w:rsid w:val="00AF249A"/>
    <w:rsid w:val="00AF2A59"/>
    <w:rsid w:val="00AF3E24"/>
    <w:rsid w:val="00AF6B9D"/>
    <w:rsid w:val="00B025DA"/>
    <w:rsid w:val="00B068DC"/>
    <w:rsid w:val="00B103A3"/>
    <w:rsid w:val="00B145DE"/>
    <w:rsid w:val="00B23405"/>
    <w:rsid w:val="00B2402E"/>
    <w:rsid w:val="00B24CD9"/>
    <w:rsid w:val="00B26772"/>
    <w:rsid w:val="00B327F7"/>
    <w:rsid w:val="00B34AE5"/>
    <w:rsid w:val="00B5128B"/>
    <w:rsid w:val="00B60EAE"/>
    <w:rsid w:val="00B6343F"/>
    <w:rsid w:val="00B67367"/>
    <w:rsid w:val="00B716D7"/>
    <w:rsid w:val="00B73608"/>
    <w:rsid w:val="00B86F76"/>
    <w:rsid w:val="00B90F30"/>
    <w:rsid w:val="00B911A1"/>
    <w:rsid w:val="00BA4F48"/>
    <w:rsid w:val="00BB000F"/>
    <w:rsid w:val="00BB0F53"/>
    <w:rsid w:val="00BC268D"/>
    <w:rsid w:val="00BF1910"/>
    <w:rsid w:val="00BF54DC"/>
    <w:rsid w:val="00C3201F"/>
    <w:rsid w:val="00C43735"/>
    <w:rsid w:val="00C455F7"/>
    <w:rsid w:val="00C4684B"/>
    <w:rsid w:val="00C5023F"/>
    <w:rsid w:val="00C52382"/>
    <w:rsid w:val="00C665B7"/>
    <w:rsid w:val="00C96690"/>
    <w:rsid w:val="00CA4607"/>
    <w:rsid w:val="00CA7595"/>
    <w:rsid w:val="00CA79CB"/>
    <w:rsid w:val="00CB5043"/>
    <w:rsid w:val="00CC2053"/>
    <w:rsid w:val="00CC3609"/>
    <w:rsid w:val="00CC7269"/>
    <w:rsid w:val="00CD4145"/>
    <w:rsid w:val="00CE54CD"/>
    <w:rsid w:val="00CE60DE"/>
    <w:rsid w:val="00CE6E71"/>
    <w:rsid w:val="00CF4B60"/>
    <w:rsid w:val="00D107BA"/>
    <w:rsid w:val="00D1403B"/>
    <w:rsid w:val="00D150BB"/>
    <w:rsid w:val="00D170D2"/>
    <w:rsid w:val="00D17D7A"/>
    <w:rsid w:val="00D245D8"/>
    <w:rsid w:val="00D27BD8"/>
    <w:rsid w:val="00D30F67"/>
    <w:rsid w:val="00D37B85"/>
    <w:rsid w:val="00D43FE8"/>
    <w:rsid w:val="00D45484"/>
    <w:rsid w:val="00D51222"/>
    <w:rsid w:val="00D6217D"/>
    <w:rsid w:val="00D635C6"/>
    <w:rsid w:val="00D667D0"/>
    <w:rsid w:val="00D73161"/>
    <w:rsid w:val="00D764A6"/>
    <w:rsid w:val="00D7701D"/>
    <w:rsid w:val="00D773F6"/>
    <w:rsid w:val="00D77BCA"/>
    <w:rsid w:val="00D831EA"/>
    <w:rsid w:val="00D83600"/>
    <w:rsid w:val="00D849F3"/>
    <w:rsid w:val="00D86D1A"/>
    <w:rsid w:val="00D86E48"/>
    <w:rsid w:val="00D90F5B"/>
    <w:rsid w:val="00D93835"/>
    <w:rsid w:val="00D93DCB"/>
    <w:rsid w:val="00DA7784"/>
    <w:rsid w:val="00DD1AF7"/>
    <w:rsid w:val="00DD69E1"/>
    <w:rsid w:val="00DE54FC"/>
    <w:rsid w:val="00DF14DB"/>
    <w:rsid w:val="00E06F08"/>
    <w:rsid w:val="00E10657"/>
    <w:rsid w:val="00E233F1"/>
    <w:rsid w:val="00E347D8"/>
    <w:rsid w:val="00E361A3"/>
    <w:rsid w:val="00E47FB5"/>
    <w:rsid w:val="00E533C5"/>
    <w:rsid w:val="00E7224A"/>
    <w:rsid w:val="00E73A18"/>
    <w:rsid w:val="00E7671B"/>
    <w:rsid w:val="00EA0534"/>
    <w:rsid w:val="00EB68CF"/>
    <w:rsid w:val="00EB71F4"/>
    <w:rsid w:val="00EC11C9"/>
    <w:rsid w:val="00EC1F6A"/>
    <w:rsid w:val="00EC20C5"/>
    <w:rsid w:val="00ED5B30"/>
    <w:rsid w:val="00ED64CD"/>
    <w:rsid w:val="00EE0C68"/>
    <w:rsid w:val="00EE3E99"/>
    <w:rsid w:val="00EE40BC"/>
    <w:rsid w:val="00EE7216"/>
    <w:rsid w:val="00EE78B7"/>
    <w:rsid w:val="00EF76E3"/>
    <w:rsid w:val="00EF7BE2"/>
    <w:rsid w:val="00F01ECA"/>
    <w:rsid w:val="00F04487"/>
    <w:rsid w:val="00F120A8"/>
    <w:rsid w:val="00F13FB1"/>
    <w:rsid w:val="00F20DFC"/>
    <w:rsid w:val="00F23BE7"/>
    <w:rsid w:val="00F30D9D"/>
    <w:rsid w:val="00F36D43"/>
    <w:rsid w:val="00F3793E"/>
    <w:rsid w:val="00F44DD1"/>
    <w:rsid w:val="00F472A4"/>
    <w:rsid w:val="00F54997"/>
    <w:rsid w:val="00F818AB"/>
    <w:rsid w:val="00F843BB"/>
    <w:rsid w:val="00FA6D0E"/>
    <w:rsid w:val="00FC792F"/>
    <w:rsid w:val="00FE019D"/>
    <w:rsid w:val="00FE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C6"/>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7FAC"/>
  </w:style>
  <w:style w:type="character" w:styleId="Hyperlink">
    <w:name w:val="Hyperlink"/>
    <w:basedOn w:val="DefaultParagraphFont"/>
    <w:uiPriority w:val="99"/>
    <w:unhideWhenUsed/>
    <w:rsid w:val="00445CF7"/>
    <w:rPr>
      <w:color w:val="0563C1" w:themeColor="hyperlink"/>
      <w:u w:val="single"/>
    </w:rPr>
  </w:style>
  <w:style w:type="character" w:styleId="Emphasis">
    <w:name w:val="Emphasis"/>
    <w:basedOn w:val="DefaultParagraphFont"/>
    <w:uiPriority w:val="20"/>
    <w:qFormat/>
    <w:rsid w:val="00081881"/>
    <w:rPr>
      <w:i/>
      <w:iCs/>
    </w:rPr>
  </w:style>
  <w:style w:type="paragraph" w:styleId="FootnoteText">
    <w:name w:val="footnote text"/>
    <w:basedOn w:val="Normal"/>
    <w:link w:val="FootnoteTextChar"/>
    <w:uiPriority w:val="99"/>
    <w:semiHidden/>
    <w:unhideWhenUsed/>
    <w:rsid w:val="00551668"/>
    <w:rPr>
      <w:sz w:val="20"/>
      <w:szCs w:val="20"/>
    </w:rPr>
  </w:style>
  <w:style w:type="character" w:customStyle="1" w:styleId="FootnoteTextChar">
    <w:name w:val="Footnote Text Char"/>
    <w:basedOn w:val="DefaultParagraphFont"/>
    <w:link w:val="FootnoteText"/>
    <w:uiPriority w:val="99"/>
    <w:semiHidden/>
    <w:rsid w:val="0055166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51668"/>
    <w:rPr>
      <w:vertAlign w:val="superscript"/>
    </w:rPr>
  </w:style>
  <w:style w:type="paragraph" w:styleId="NormalWeb">
    <w:name w:val="Normal (Web)"/>
    <w:basedOn w:val="Normal"/>
    <w:uiPriority w:val="99"/>
    <w:unhideWhenUsed/>
    <w:rsid w:val="00E10657"/>
    <w:pPr>
      <w:spacing w:before="100" w:beforeAutospacing="1" w:after="100" w:afterAutospacing="1"/>
      <w:jc w:val="left"/>
    </w:pPr>
    <w:rPr>
      <w:rFonts w:eastAsia="Times New Roman"/>
    </w:rPr>
  </w:style>
  <w:style w:type="paragraph" w:styleId="Header">
    <w:name w:val="header"/>
    <w:basedOn w:val="Normal"/>
    <w:link w:val="HeaderChar"/>
    <w:uiPriority w:val="99"/>
    <w:unhideWhenUsed/>
    <w:rsid w:val="009472AD"/>
    <w:pPr>
      <w:tabs>
        <w:tab w:val="center" w:pos="4680"/>
        <w:tab w:val="right" w:pos="9360"/>
      </w:tabs>
    </w:pPr>
  </w:style>
  <w:style w:type="character" w:customStyle="1" w:styleId="HeaderChar">
    <w:name w:val="Header Char"/>
    <w:basedOn w:val="DefaultParagraphFont"/>
    <w:link w:val="Header"/>
    <w:uiPriority w:val="99"/>
    <w:rsid w:val="009472AD"/>
    <w:rPr>
      <w:rFonts w:ascii="Times New Roman" w:eastAsia="Calibri" w:hAnsi="Times New Roman" w:cs="Times New Roman"/>
      <w:sz w:val="24"/>
      <w:szCs w:val="24"/>
    </w:rPr>
  </w:style>
  <w:style w:type="paragraph" w:styleId="Footer">
    <w:name w:val="footer"/>
    <w:basedOn w:val="Normal"/>
    <w:link w:val="FooterChar"/>
    <w:uiPriority w:val="99"/>
    <w:unhideWhenUsed/>
    <w:rsid w:val="009472AD"/>
    <w:pPr>
      <w:tabs>
        <w:tab w:val="center" w:pos="4680"/>
        <w:tab w:val="right" w:pos="9360"/>
      </w:tabs>
    </w:pPr>
  </w:style>
  <w:style w:type="character" w:customStyle="1" w:styleId="FooterChar">
    <w:name w:val="Footer Char"/>
    <w:basedOn w:val="DefaultParagraphFont"/>
    <w:link w:val="Footer"/>
    <w:uiPriority w:val="99"/>
    <w:rsid w:val="009472AD"/>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C611C"/>
    <w:rPr>
      <w:sz w:val="16"/>
      <w:szCs w:val="16"/>
    </w:rPr>
  </w:style>
  <w:style w:type="paragraph" w:styleId="CommentText">
    <w:name w:val="annotation text"/>
    <w:basedOn w:val="Normal"/>
    <w:link w:val="CommentTextChar"/>
    <w:uiPriority w:val="99"/>
    <w:semiHidden/>
    <w:unhideWhenUsed/>
    <w:rsid w:val="003C611C"/>
    <w:rPr>
      <w:sz w:val="20"/>
      <w:szCs w:val="20"/>
    </w:rPr>
  </w:style>
  <w:style w:type="character" w:customStyle="1" w:styleId="CommentTextChar">
    <w:name w:val="Comment Text Char"/>
    <w:basedOn w:val="DefaultParagraphFont"/>
    <w:link w:val="CommentText"/>
    <w:uiPriority w:val="99"/>
    <w:semiHidden/>
    <w:rsid w:val="003C611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11C"/>
    <w:rPr>
      <w:b/>
      <w:bCs/>
    </w:rPr>
  </w:style>
  <w:style w:type="character" w:customStyle="1" w:styleId="CommentSubjectChar">
    <w:name w:val="Comment Subject Char"/>
    <w:basedOn w:val="CommentTextChar"/>
    <w:link w:val="CommentSubject"/>
    <w:uiPriority w:val="99"/>
    <w:semiHidden/>
    <w:rsid w:val="003C611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3C611C"/>
    <w:rPr>
      <w:rFonts w:ascii="Tahoma" w:hAnsi="Tahoma" w:cs="Tahoma"/>
      <w:sz w:val="16"/>
      <w:szCs w:val="16"/>
    </w:rPr>
  </w:style>
  <w:style w:type="character" w:customStyle="1" w:styleId="BalloonTextChar">
    <w:name w:val="Balloon Text Char"/>
    <w:basedOn w:val="DefaultParagraphFont"/>
    <w:link w:val="BalloonText"/>
    <w:uiPriority w:val="99"/>
    <w:semiHidden/>
    <w:rsid w:val="003C611C"/>
    <w:rPr>
      <w:rFonts w:ascii="Tahoma" w:eastAsia="Calibri" w:hAnsi="Tahoma" w:cs="Tahoma"/>
      <w:sz w:val="16"/>
      <w:szCs w:val="16"/>
    </w:rPr>
  </w:style>
  <w:style w:type="table" w:styleId="TableGrid">
    <w:name w:val="Table Grid"/>
    <w:basedOn w:val="TableNormal"/>
    <w:uiPriority w:val="39"/>
    <w:unhideWhenUsed/>
    <w:rsid w:val="000B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6191">
      <w:bodyDiv w:val="1"/>
      <w:marLeft w:val="0"/>
      <w:marRight w:val="0"/>
      <w:marTop w:val="0"/>
      <w:marBottom w:val="0"/>
      <w:divBdr>
        <w:top w:val="none" w:sz="0" w:space="0" w:color="auto"/>
        <w:left w:val="none" w:sz="0" w:space="0" w:color="auto"/>
        <w:bottom w:val="none" w:sz="0" w:space="0" w:color="auto"/>
        <w:right w:val="none" w:sz="0" w:space="0" w:color="auto"/>
      </w:divBdr>
    </w:div>
    <w:div w:id="620260080">
      <w:bodyDiv w:val="1"/>
      <w:marLeft w:val="0"/>
      <w:marRight w:val="0"/>
      <w:marTop w:val="0"/>
      <w:marBottom w:val="0"/>
      <w:divBdr>
        <w:top w:val="none" w:sz="0" w:space="0" w:color="auto"/>
        <w:left w:val="none" w:sz="0" w:space="0" w:color="auto"/>
        <w:bottom w:val="none" w:sz="0" w:space="0" w:color="auto"/>
        <w:right w:val="none" w:sz="0" w:space="0" w:color="auto"/>
      </w:divBdr>
    </w:div>
    <w:div w:id="1140464230">
      <w:bodyDiv w:val="1"/>
      <w:marLeft w:val="0"/>
      <w:marRight w:val="0"/>
      <w:marTop w:val="0"/>
      <w:marBottom w:val="0"/>
      <w:divBdr>
        <w:top w:val="none" w:sz="0" w:space="0" w:color="auto"/>
        <w:left w:val="none" w:sz="0" w:space="0" w:color="auto"/>
        <w:bottom w:val="none" w:sz="0" w:space="0" w:color="auto"/>
        <w:right w:val="none" w:sz="0" w:space="0" w:color="auto"/>
      </w:divBdr>
    </w:div>
    <w:div w:id="1146776571">
      <w:bodyDiv w:val="1"/>
      <w:marLeft w:val="0"/>
      <w:marRight w:val="0"/>
      <w:marTop w:val="0"/>
      <w:marBottom w:val="0"/>
      <w:divBdr>
        <w:top w:val="none" w:sz="0" w:space="0" w:color="auto"/>
        <w:left w:val="none" w:sz="0" w:space="0" w:color="auto"/>
        <w:bottom w:val="none" w:sz="0" w:space="0" w:color="auto"/>
        <w:right w:val="none" w:sz="0" w:space="0" w:color="auto"/>
      </w:divBdr>
    </w:div>
    <w:div w:id="1167206805">
      <w:bodyDiv w:val="1"/>
      <w:marLeft w:val="0"/>
      <w:marRight w:val="0"/>
      <w:marTop w:val="0"/>
      <w:marBottom w:val="0"/>
      <w:divBdr>
        <w:top w:val="none" w:sz="0" w:space="0" w:color="auto"/>
        <w:left w:val="none" w:sz="0" w:space="0" w:color="auto"/>
        <w:bottom w:val="none" w:sz="0" w:space="0" w:color="auto"/>
        <w:right w:val="none" w:sz="0" w:space="0" w:color="auto"/>
      </w:divBdr>
    </w:div>
    <w:div w:id="1243224324">
      <w:bodyDiv w:val="1"/>
      <w:marLeft w:val="0"/>
      <w:marRight w:val="0"/>
      <w:marTop w:val="0"/>
      <w:marBottom w:val="0"/>
      <w:divBdr>
        <w:top w:val="none" w:sz="0" w:space="0" w:color="auto"/>
        <w:left w:val="none" w:sz="0" w:space="0" w:color="auto"/>
        <w:bottom w:val="none" w:sz="0" w:space="0" w:color="auto"/>
        <w:right w:val="none" w:sz="0" w:space="0" w:color="auto"/>
      </w:divBdr>
    </w:div>
    <w:div w:id="1281912934">
      <w:bodyDiv w:val="1"/>
      <w:marLeft w:val="0"/>
      <w:marRight w:val="0"/>
      <w:marTop w:val="0"/>
      <w:marBottom w:val="0"/>
      <w:divBdr>
        <w:top w:val="none" w:sz="0" w:space="0" w:color="auto"/>
        <w:left w:val="none" w:sz="0" w:space="0" w:color="auto"/>
        <w:bottom w:val="none" w:sz="0" w:space="0" w:color="auto"/>
        <w:right w:val="none" w:sz="0" w:space="0" w:color="auto"/>
      </w:divBdr>
    </w:div>
    <w:div w:id="1401636341">
      <w:bodyDiv w:val="1"/>
      <w:marLeft w:val="0"/>
      <w:marRight w:val="0"/>
      <w:marTop w:val="0"/>
      <w:marBottom w:val="0"/>
      <w:divBdr>
        <w:top w:val="none" w:sz="0" w:space="0" w:color="auto"/>
        <w:left w:val="none" w:sz="0" w:space="0" w:color="auto"/>
        <w:bottom w:val="none" w:sz="0" w:space="0" w:color="auto"/>
        <w:right w:val="none" w:sz="0" w:space="0" w:color="auto"/>
      </w:divBdr>
    </w:div>
    <w:div w:id="1469738567">
      <w:bodyDiv w:val="1"/>
      <w:marLeft w:val="0"/>
      <w:marRight w:val="0"/>
      <w:marTop w:val="0"/>
      <w:marBottom w:val="0"/>
      <w:divBdr>
        <w:top w:val="none" w:sz="0" w:space="0" w:color="auto"/>
        <w:left w:val="none" w:sz="0" w:space="0" w:color="auto"/>
        <w:bottom w:val="none" w:sz="0" w:space="0" w:color="auto"/>
        <w:right w:val="none" w:sz="0" w:space="0" w:color="auto"/>
      </w:divBdr>
    </w:div>
    <w:div w:id="1541356886">
      <w:bodyDiv w:val="1"/>
      <w:marLeft w:val="0"/>
      <w:marRight w:val="0"/>
      <w:marTop w:val="0"/>
      <w:marBottom w:val="0"/>
      <w:divBdr>
        <w:top w:val="none" w:sz="0" w:space="0" w:color="auto"/>
        <w:left w:val="none" w:sz="0" w:space="0" w:color="auto"/>
        <w:bottom w:val="none" w:sz="0" w:space="0" w:color="auto"/>
        <w:right w:val="none" w:sz="0" w:space="0" w:color="auto"/>
      </w:divBdr>
    </w:div>
    <w:div w:id="1641496759">
      <w:bodyDiv w:val="1"/>
      <w:marLeft w:val="0"/>
      <w:marRight w:val="0"/>
      <w:marTop w:val="0"/>
      <w:marBottom w:val="0"/>
      <w:divBdr>
        <w:top w:val="none" w:sz="0" w:space="0" w:color="auto"/>
        <w:left w:val="none" w:sz="0" w:space="0" w:color="auto"/>
        <w:bottom w:val="none" w:sz="0" w:space="0" w:color="auto"/>
        <w:right w:val="none" w:sz="0" w:space="0" w:color="auto"/>
      </w:divBdr>
    </w:div>
    <w:div w:id="17211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Sheet1!$E$4</c:f>
              <c:strCache>
                <c:ptCount val="1"/>
                <c:pt idx="0">
                  <c:v>Pictograph Absent</c:v>
                </c:pt>
              </c:strCache>
            </c:strRef>
          </c:tx>
          <c:spPr>
            <a:solidFill>
              <a:schemeClr val="bg1">
                <a:lumMod val="50000"/>
              </a:schemeClr>
            </a:solidFill>
            <a:ln>
              <a:noFill/>
            </a:ln>
            <a:effectLst/>
          </c:spPr>
          <c:invertIfNegative val="0"/>
          <c:cat>
            <c:multiLvlStrRef>
              <c:f>Sheet1!$F$2:$J$3</c:f>
              <c:multiLvlStrCache>
                <c:ptCount val="5"/>
                <c:lvl>
                  <c:pt idx="0">
                    <c:v>Mild Fever (1 in 5)</c:v>
                  </c:pt>
                  <c:pt idx="1">
                    <c:v>Mild Fever (1 in 5)</c:v>
                  </c:pt>
                  <c:pt idx="2">
                    <c:v>Poor Appetite (1 in 10)</c:v>
                  </c:pt>
                  <c:pt idx="3">
                    <c:v>Vomiting (1 in 20)</c:v>
                  </c:pt>
                  <c:pt idx="4">
                    <c:v>High Fever (1 in 50)</c:v>
                  </c:pt>
                </c:lvl>
                <c:lvl>
                  <c:pt idx="0">
                    <c:v>Single-Risk Condition</c:v>
                  </c:pt>
                  <c:pt idx="1">
                    <c:v>Multiple-Risk Condition</c:v>
                  </c:pt>
                </c:lvl>
              </c:multiLvlStrCache>
            </c:multiLvlStrRef>
          </c:cat>
          <c:val>
            <c:numRef>
              <c:f>Sheet1!$F$4:$J$4</c:f>
              <c:numCache>
                <c:formatCode>0.0%</c:formatCode>
                <c:ptCount val="5"/>
                <c:pt idx="0">
                  <c:v>0.80559999999999998</c:v>
                </c:pt>
                <c:pt idx="1">
                  <c:v>0.75</c:v>
                </c:pt>
                <c:pt idx="2">
                  <c:v>0.81899999999999995</c:v>
                </c:pt>
                <c:pt idx="3">
                  <c:v>0.73599999999999999</c:v>
                </c:pt>
                <c:pt idx="4">
                  <c:v>0.63900000000000001</c:v>
                </c:pt>
              </c:numCache>
            </c:numRef>
          </c:val>
          <c:extLst>
            <c:ext xmlns:c16="http://schemas.microsoft.com/office/drawing/2014/chart" uri="{C3380CC4-5D6E-409C-BE32-E72D297353CC}">
              <c16:uniqueId val="{00000000-3C84-4831-8940-EE5D1E9AFE5B}"/>
            </c:ext>
          </c:extLst>
        </c:ser>
        <c:ser>
          <c:idx val="1"/>
          <c:order val="1"/>
          <c:tx>
            <c:strRef>
              <c:f>Sheet1!$E$5</c:f>
              <c:strCache>
                <c:ptCount val="1"/>
                <c:pt idx="0">
                  <c:v>Pictograph Present</c:v>
                </c:pt>
              </c:strCache>
            </c:strRef>
          </c:tx>
          <c:spPr>
            <a:solidFill>
              <a:schemeClr val="tx1">
                <a:lumMod val="95000"/>
                <a:lumOff val="5000"/>
              </a:schemeClr>
            </a:solidFill>
            <a:ln>
              <a:noFill/>
            </a:ln>
            <a:effectLst/>
          </c:spPr>
          <c:invertIfNegative val="0"/>
          <c:cat>
            <c:multiLvlStrRef>
              <c:f>Sheet1!$F$2:$J$3</c:f>
              <c:multiLvlStrCache>
                <c:ptCount val="5"/>
                <c:lvl>
                  <c:pt idx="0">
                    <c:v>Mild Fever (1 in 5)</c:v>
                  </c:pt>
                  <c:pt idx="1">
                    <c:v>Mild Fever (1 in 5)</c:v>
                  </c:pt>
                  <c:pt idx="2">
                    <c:v>Poor Appetite (1 in 10)</c:v>
                  </c:pt>
                  <c:pt idx="3">
                    <c:v>Vomiting (1 in 20)</c:v>
                  </c:pt>
                  <c:pt idx="4">
                    <c:v>High Fever (1 in 50)</c:v>
                  </c:pt>
                </c:lvl>
                <c:lvl>
                  <c:pt idx="0">
                    <c:v>Single-Risk Condition</c:v>
                  </c:pt>
                  <c:pt idx="1">
                    <c:v>Multiple-Risk Condition</c:v>
                  </c:pt>
                </c:lvl>
              </c:multiLvlStrCache>
            </c:multiLvlStrRef>
          </c:cat>
          <c:val>
            <c:numRef>
              <c:f>Sheet1!$F$5:$J$5</c:f>
              <c:numCache>
                <c:formatCode>0.0%</c:formatCode>
                <c:ptCount val="5"/>
                <c:pt idx="0">
                  <c:v>0.83819999999999995</c:v>
                </c:pt>
                <c:pt idx="1">
                  <c:v>0.871</c:v>
                </c:pt>
                <c:pt idx="2">
                  <c:v>0.92900000000000005</c:v>
                </c:pt>
                <c:pt idx="3">
                  <c:v>0.871</c:v>
                </c:pt>
                <c:pt idx="4">
                  <c:v>0.78600000000000003</c:v>
                </c:pt>
              </c:numCache>
            </c:numRef>
          </c:val>
          <c:extLst>
            <c:ext xmlns:c16="http://schemas.microsoft.com/office/drawing/2014/chart" uri="{C3380CC4-5D6E-409C-BE32-E72D297353CC}">
              <c16:uniqueId val="{00000001-3C84-4831-8940-EE5D1E9AFE5B}"/>
            </c:ext>
          </c:extLst>
        </c:ser>
        <c:dLbls>
          <c:showLegendKey val="0"/>
          <c:showVal val="0"/>
          <c:showCatName val="0"/>
          <c:showSerName val="0"/>
          <c:showPercent val="0"/>
          <c:showBubbleSize val="0"/>
        </c:dLbls>
        <c:gapWidth val="219"/>
        <c:overlap val="-27"/>
        <c:axId val="102002048"/>
        <c:axId val="119350400"/>
      </c:barChart>
      <c:catAx>
        <c:axId val="102002048"/>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350400"/>
        <c:crosses val="autoZero"/>
        <c:auto val="1"/>
        <c:lblAlgn val="ctr"/>
        <c:lblOffset val="100"/>
        <c:tickLblSkip val="1"/>
        <c:noMultiLvlLbl val="0"/>
      </c:catAx>
      <c:valAx>
        <c:axId val="119350400"/>
        <c:scaling>
          <c:orientation val="minMax"/>
          <c:max val="0.95000000000000007"/>
          <c:min val="0.5"/>
        </c:scaling>
        <c:delete val="0"/>
        <c:axPos val="l"/>
        <c:majorGridlines>
          <c:spPr>
            <a:ln w="9525" cap="flat" cmpd="sng" algn="ctr">
              <a:noFill/>
              <a:round/>
            </a:ln>
            <a:effectLst/>
          </c:spPr>
        </c:majorGridlines>
        <c:title>
          <c:tx>
            <c:rich>
              <a:bodyPr/>
              <a:lstStyle/>
              <a:p>
                <a:pPr>
                  <a:defRPr/>
                </a:pPr>
                <a:r>
                  <a:rPr lang="en-US" b="0">
                    <a:latin typeface="Times New Roman" panose="02020603050405020304" pitchFamily="18" charset="0"/>
                    <a:cs typeface="Times New Roman" panose="02020603050405020304" pitchFamily="18" charset="0"/>
                  </a:rPr>
                  <a:t>Percent</a:t>
                </a:r>
                <a:r>
                  <a:rPr lang="en-US" b="0" baseline="0">
                    <a:latin typeface="Times New Roman" panose="02020603050405020304" pitchFamily="18" charset="0"/>
                    <a:cs typeface="Times New Roman" panose="02020603050405020304" pitchFamily="18" charset="0"/>
                  </a:rPr>
                  <a:t> Correct</a:t>
                </a:r>
                <a:endParaRPr lang="en-US" b="0">
                  <a:latin typeface="Times New Roman" panose="02020603050405020304" pitchFamily="18" charset="0"/>
                  <a:cs typeface="Times New Roman" panose="02020603050405020304" pitchFamily="18" charset="0"/>
                </a:endParaRPr>
              </a:p>
            </c:rich>
          </c:tx>
          <c:overlay val="0"/>
        </c:title>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200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 (2)'!$E$3</c:f>
              <c:strCache>
                <c:ptCount val="1"/>
                <c:pt idx="0">
                  <c:v>Pictograph Absent</c:v>
                </c:pt>
              </c:strCache>
            </c:strRef>
          </c:tx>
          <c:spPr>
            <a:solidFill>
              <a:schemeClr val="bg1">
                <a:lumMod val="50000"/>
              </a:schemeClr>
            </a:solidFill>
            <a:ln>
              <a:noFill/>
            </a:ln>
            <a:effectLst/>
          </c:spPr>
          <c:invertIfNegative val="0"/>
          <c:cat>
            <c:strRef>
              <c:f>'Sheet1 (2)'!$F$2:$G$2</c:f>
              <c:strCache>
                <c:ptCount val="2"/>
                <c:pt idx="0">
                  <c:v>Single-Risk Condition</c:v>
                </c:pt>
                <c:pt idx="1">
                  <c:v>Multiple-Risk Condition</c:v>
                </c:pt>
              </c:strCache>
            </c:strRef>
          </c:cat>
          <c:val>
            <c:numRef>
              <c:f>'Sheet1 (2)'!$F$3:$G$3</c:f>
              <c:numCache>
                <c:formatCode>0.00</c:formatCode>
                <c:ptCount val="2"/>
                <c:pt idx="0">
                  <c:v>18.260000000000002</c:v>
                </c:pt>
                <c:pt idx="1">
                  <c:v>34.33</c:v>
                </c:pt>
              </c:numCache>
            </c:numRef>
          </c:val>
          <c:extLst>
            <c:ext xmlns:c16="http://schemas.microsoft.com/office/drawing/2014/chart" uri="{C3380CC4-5D6E-409C-BE32-E72D297353CC}">
              <c16:uniqueId val="{00000000-2AE2-49D2-9B34-32B0394EE00A}"/>
            </c:ext>
          </c:extLst>
        </c:ser>
        <c:ser>
          <c:idx val="1"/>
          <c:order val="1"/>
          <c:tx>
            <c:strRef>
              <c:f>'Sheet1 (2)'!$E$4</c:f>
              <c:strCache>
                <c:ptCount val="1"/>
                <c:pt idx="0">
                  <c:v>Pictograph Present</c:v>
                </c:pt>
              </c:strCache>
            </c:strRef>
          </c:tx>
          <c:spPr>
            <a:solidFill>
              <a:schemeClr val="tx1">
                <a:lumMod val="95000"/>
                <a:lumOff val="5000"/>
              </a:schemeClr>
            </a:solidFill>
            <a:ln>
              <a:noFill/>
            </a:ln>
            <a:effectLst/>
          </c:spPr>
          <c:invertIfNegative val="0"/>
          <c:cat>
            <c:strRef>
              <c:f>'Sheet1 (2)'!$F$2:$G$2</c:f>
              <c:strCache>
                <c:ptCount val="2"/>
                <c:pt idx="0">
                  <c:v>Single-Risk Condition</c:v>
                </c:pt>
                <c:pt idx="1">
                  <c:v>Multiple-Risk Condition</c:v>
                </c:pt>
              </c:strCache>
            </c:strRef>
          </c:cat>
          <c:val>
            <c:numRef>
              <c:f>'Sheet1 (2)'!$F$4:$G$4</c:f>
              <c:numCache>
                <c:formatCode>0.00</c:formatCode>
                <c:ptCount val="2"/>
                <c:pt idx="0">
                  <c:v>20.2</c:v>
                </c:pt>
                <c:pt idx="1">
                  <c:v>23.98</c:v>
                </c:pt>
              </c:numCache>
            </c:numRef>
          </c:val>
          <c:extLst>
            <c:ext xmlns:c16="http://schemas.microsoft.com/office/drawing/2014/chart" uri="{C3380CC4-5D6E-409C-BE32-E72D297353CC}">
              <c16:uniqueId val="{00000001-2AE2-49D2-9B34-32B0394EE00A}"/>
            </c:ext>
          </c:extLst>
        </c:ser>
        <c:dLbls>
          <c:showLegendKey val="0"/>
          <c:showVal val="0"/>
          <c:showCatName val="0"/>
          <c:showSerName val="0"/>
          <c:showPercent val="0"/>
          <c:showBubbleSize val="0"/>
        </c:dLbls>
        <c:gapWidth val="219"/>
        <c:overlap val="-27"/>
        <c:axId val="102136064"/>
        <c:axId val="102166528"/>
      </c:barChart>
      <c:catAx>
        <c:axId val="102136064"/>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2166528"/>
        <c:crosses val="autoZero"/>
        <c:auto val="1"/>
        <c:lblAlgn val="ctr"/>
        <c:lblOffset val="100"/>
        <c:tickLblSkip val="1"/>
        <c:noMultiLvlLbl val="0"/>
      </c:catAx>
      <c:valAx>
        <c:axId val="102166528"/>
        <c:scaling>
          <c:orientation val="minMax"/>
          <c:max val="38"/>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0">
                    <a:solidFill>
                      <a:sysClr val="windowText" lastClr="000000"/>
                    </a:solidFill>
                    <a:latin typeface="Times New Roman" panose="02020603050405020304" pitchFamily="18" charset="0"/>
                    <a:cs typeface="Times New Roman" panose="02020603050405020304" pitchFamily="18" charset="0"/>
                  </a:rPr>
                  <a:t>Risk Perception (0</a:t>
                </a:r>
                <a:r>
                  <a:rPr lang="en-US" b="0" baseline="0">
                    <a:solidFill>
                      <a:sysClr val="windowText" lastClr="000000"/>
                    </a:solidFill>
                    <a:latin typeface="Times New Roman" panose="02020603050405020304" pitchFamily="18" charset="0"/>
                    <a:cs typeface="Times New Roman" panose="02020603050405020304" pitchFamily="18" charset="0"/>
                  </a:rPr>
                  <a:t> to </a:t>
                </a:r>
                <a:r>
                  <a:rPr lang="en-US" b="0">
                    <a:solidFill>
                      <a:sysClr val="windowText" lastClr="000000"/>
                    </a:solidFill>
                    <a:latin typeface="Times New Roman" panose="02020603050405020304" pitchFamily="18" charset="0"/>
                    <a:cs typeface="Times New Roman" panose="02020603050405020304" pitchFamily="18" charset="0"/>
                  </a:rPr>
                  <a:t>100)</a:t>
                </a:r>
              </a:p>
            </c:rich>
          </c:tx>
          <c:overlay val="0"/>
          <c:spPr>
            <a:noFill/>
            <a:ln>
              <a:noFill/>
            </a:ln>
            <a:effectLst/>
          </c:spPr>
        </c:title>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213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F4E0-3DA0-4D5A-914F-B8DD27A6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2018-01-14T00:01:00Z</dcterms:created>
  <dcterms:modified xsi:type="dcterms:W3CDTF">2018-01-14T00:01:00Z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